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黑体" w:eastAsia="黑体"/>
          <w:sz w:val="32"/>
        </w:rPr>
      </w:pPr>
      <w:bookmarkStart w:id="0" w:name="bookmark49"/>
      <w:bookmarkStart w:id="1" w:name="bookmark50"/>
      <w:bookmarkStart w:id="2" w:name="bookmark51"/>
    </w:p>
    <w:p>
      <w:pPr>
        <w:autoSpaceDE w:val="0"/>
        <w:autoSpaceDN w:val="0"/>
        <w:jc w:val="center"/>
        <w:rPr>
          <w:rFonts w:hint="eastAsia" w:ascii="黑体" w:eastAsia="黑体"/>
          <w:b/>
          <w:sz w:val="72"/>
          <w:szCs w:val="40"/>
          <w:lang w:val="zh-CN"/>
        </w:rPr>
      </w:pPr>
    </w:p>
    <w:p>
      <w:pPr>
        <w:autoSpaceDE w:val="0"/>
        <w:autoSpaceDN w:val="0"/>
        <w:jc w:val="center"/>
        <w:rPr>
          <w:rFonts w:hint="eastAsia" w:ascii="黑体" w:eastAsia="黑体"/>
          <w:b/>
          <w:sz w:val="72"/>
          <w:szCs w:val="40"/>
          <w:lang w:val="zh-CN"/>
        </w:rPr>
      </w:pPr>
    </w:p>
    <w:p>
      <w:pPr>
        <w:snapToGrid w:val="0"/>
        <w:spacing w:line="360" w:lineRule="auto"/>
        <w:rPr>
          <w:rFonts w:ascii="宋体" w:hAnsi="宋体" w:cs="黑体"/>
          <w:b/>
          <w:spacing w:val="170"/>
          <w:kern w:val="0"/>
          <w:sz w:val="84"/>
          <w:szCs w:val="84"/>
        </w:rPr>
      </w:pPr>
      <w:r>
        <w:rPr>
          <w:rFonts w:hint="eastAsia" w:ascii="宋体" w:hAnsi="宋体" w:cs="黑体"/>
          <w:b/>
          <w:spacing w:val="170"/>
          <w:kern w:val="0"/>
          <w:sz w:val="84"/>
          <w:szCs w:val="84"/>
        </w:rPr>
        <w:t>竞争性磋商</w:t>
      </w:r>
      <w:r>
        <w:rPr>
          <w:rFonts w:hint="eastAsia" w:ascii="宋体" w:hAnsi="宋体"/>
          <w:b/>
          <w:spacing w:val="170"/>
          <w:sz w:val="84"/>
          <w:szCs w:val="84"/>
        </w:rPr>
        <w:t>文件</w:t>
      </w:r>
    </w:p>
    <w:p>
      <w:pPr>
        <w:autoSpaceDE w:val="0"/>
        <w:autoSpaceDN w:val="0"/>
        <w:jc w:val="center"/>
        <w:rPr>
          <w:rFonts w:ascii="黑体" w:eastAsia="黑体"/>
          <w:b/>
          <w:sz w:val="32"/>
          <w:lang w:val="zh-CN"/>
        </w:rPr>
      </w:pPr>
    </w:p>
    <w:p>
      <w:pPr>
        <w:autoSpaceDE w:val="0"/>
        <w:autoSpaceDN w:val="0"/>
        <w:rPr>
          <w:rFonts w:ascii="黑体" w:eastAsia="黑体"/>
          <w:b/>
          <w:sz w:val="32"/>
          <w:lang w:val="zh-CN"/>
        </w:rPr>
      </w:pPr>
    </w:p>
    <w:p>
      <w:pPr>
        <w:autoSpaceDE w:val="0"/>
        <w:autoSpaceDN w:val="0"/>
        <w:jc w:val="center"/>
        <w:rPr>
          <w:rFonts w:ascii="黑体" w:eastAsia="黑体"/>
          <w:b/>
          <w:sz w:val="32"/>
          <w:lang w:val="zh-CN"/>
        </w:rPr>
      </w:pPr>
    </w:p>
    <w:p>
      <w:pPr>
        <w:autoSpaceDE w:val="0"/>
        <w:autoSpaceDN w:val="0"/>
        <w:jc w:val="center"/>
        <w:rPr>
          <w:rFonts w:ascii="黑体" w:eastAsia="黑体"/>
          <w:b/>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ascii="黑体" w:eastAsia="黑体"/>
          <w:color w:val="auto"/>
          <w:sz w:val="32"/>
          <w:lang w:val="zh-CN"/>
        </w:rPr>
      </w:pPr>
    </w:p>
    <w:p>
      <w:pPr>
        <w:tabs>
          <w:tab w:val="left" w:pos="567"/>
          <w:tab w:val="left" w:pos="851"/>
          <w:tab w:val="left" w:pos="1134"/>
        </w:tabs>
        <w:autoSpaceDE w:val="0"/>
        <w:autoSpaceDN w:val="0"/>
        <w:spacing w:line="700" w:lineRule="exact"/>
        <w:rPr>
          <w:rFonts w:hint="eastAsia" w:ascii="黑体" w:eastAsia="黑体"/>
          <w:color w:val="000000" w:themeColor="text1"/>
          <w:sz w:val="36"/>
          <w:szCs w:val="21"/>
          <w:lang w:val="en-US" w:eastAsia="zh-CN"/>
          <w14:textFill>
            <w14:solidFill>
              <w14:schemeClr w14:val="tx1"/>
            </w14:solidFill>
          </w14:textFill>
        </w:rPr>
      </w:pPr>
      <w:r>
        <w:rPr>
          <w:rFonts w:ascii="黑体" w:eastAsia="黑体"/>
          <w:color w:val="auto"/>
          <w:sz w:val="32"/>
          <w:lang w:val="zh-CN"/>
        </w:rPr>
        <w:t>采购编号：</w:t>
      </w:r>
      <w:r>
        <w:rPr>
          <w:rFonts w:hint="eastAsia" w:ascii="黑体" w:eastAsia="黑体"/>
          <w:color w:val="000000" w:themeColor="text1"/>
          <w:sz w:val="36"/>
          <w:szCs w:val="21"/>
          <w:lang w:val="en-US" w:eastAsia="zh-CN"/>
          <w14:textFill>
            <w14:solidFill>
              <w14:schemeClr w14:val="tx1"/>
            </w14:solidFill>
          </w14:textFill>
        </w:rPr>
        <w:t>JSCY竞采磋2021-002号</w:t>
      </w:r>
    </w:p>
    <w:p>
      <w:pPr>
        <w:tabs>
          <w:tab w:val="left" w:pos="567"/>
          <w:tab w:val="left" w:pos="851"/>
          <w:tab w:val="left" w:pos="1134"/>
        </w:tabs>
        <w:autoSpaceDE w:val="0"/>
        <w:autoSpaceDN w:val="0"/>
        <w:spacing w:line="700" w:lineRule="exact"/>
        <w:rPr>
          <w:rFonts w:ascii="黑体" w:eastAsia="黑体"/>
          <w:sz w:val="32"/>
          <w:szCs w:val="22"/>
          <w:lang w:val="zh-CN"/>
        </w:rPr>
      </w:pPr>
      <w:r>
        <w:rPr>
          <w:rFonts w:hint="eastAsia" w:ascii="黑体" w:eastAsia="黑体"/>
          <w:sz w:val="32"/>
          <w:szCs w:val="22"/>
        </w:rPr>
        <w:t>采 购</w:t>
      </w:r>
      <w:r>
        <w:rPr>
          <w:rFonts w:ascii="黑体" w:eastAsia="黑体"/>
          <w:sz w:val="32"/>
          <w:szCs w:val="22"/>
          <w:lang w:val="zh-CN"/>
        </w:rPr>
        <w:t xml:space="preserve"> 人：</w:t>
      </w:r>
      <w:r>
        <w:rPr>
          <w:rFonts w:hint="eastAsia" w:ascii="黑体" w:eastAsia="黑体"/>
          <w:sz w:val="32"/>
        </w:rPr>
        <w:t>常州市天宁区青龙街道社区服务中心</w:t>
      </w:r>
      <w:r>
        <w:rPr>
          <w:rFonts w:hint="eastAsia" w:ascii="黑体" w:eastAsia="黑体"/>
          <w:sz w:val="32"/>
          <w:lang w:val="zh-CN"/>
        </w:rPr>
        <w:t>（</w:t>
      </w:r>
      <w:r>
        <w:rPr>
          <w:rFonts w:ascii="黑体" w:eastAsia="黑体"/>
          <w:sz w:val="32"/>
          <w:szCs w:val="22"/>
          <w:lang w:val="zh-CN"/>
        </w:rPr>
        <w:t>单位盖章）</w:t>
      </w:r>
    </w:p>
    <w:p>
      <w:pPr>
        <w:tabs>
          <w:tab w:val="left" w:pos="567"/>
          <w:tab w:val="left" w:pos="851"/>
          <w:tab w:val="left" w:pos="1134"/>
        </w:tabs>
        <w:autoSpaceDE w:val="0"/>
        <w:autoSpaceDN w:val="0"/>
        <w:spacing w:line="700" w:lineRule="exact"/>
        <w:rPr>
          <w:rFonts w:ascii="黑体" w:eastAsia="黑体"/>
          <w:sz w:val="32"/>
          <w:szCs w:val="22"/>
        </w:rPr>
      </w:pPr>
      <w:r>
        <w:rPr>
          <w:rFonts w:ascii="黑体" w:eastAsia="黑体"/>
          <w:sz w:val="32"/>
          <w:szCs w:val="22"/>
          <w:lang w:val="zh-CN"/>
        </w:rPr>
        <w:t>项目名称：</w:t>
      </w:r>
      <w:r>
        <w:rPr>
          <w:rFonts w:hint="eastAsia" w:ascii="黑体" w:eastAsia="黑体"/>
          <w:sz w:val="32"/>
          <w:szCs w:val="22"/>
        </w:rPr>
        <w:t>新丰苑警网融合站室展陈设计施工一体化工程</w:t>
      </w:r>
    </w:p>
    <w:p>
      <w:pPr>
        <w:tabs>
          <w:tab w:val="left" w:pos="567"/>
          <w:tab w:val="left" w:pos="851"/>
          <w:tab w:val="left" w:pos="1134"/>
        </w:tabs>
        <w:autoSpaceDE w:val="0"/>
        <w:autoSpaceDN w:val="0"/>
        <w:spacing w:line="700" w:lineRule="exact"/>
      </w:pPr>
      <w:r>
        <w:rPr>
          <w:rFonts w:ascii="黑体" w:eastAsia="黑体"/>
          <w:sz w:val="32"/>
          <w:szCs w:val="22"/>
          <w:lang w:val="zh-CN"/>
        </w:rPr>
        <w:t>代理公司：</w:t>
      </w:r>
      <w:r>
        <w:rPr>
          <w:rFonts w:hint="eastAsia" w:ascii="黑体" w:eastAsia="黑体"/>
          <w:sz w:val="32"/>
          <w:szCs w:val="22"/>
          <w:lang w:val="zh-CN"/>
        </w:rPr>
        <w:t>江苏畅誉项目管理</w:t>
      </w:r>
      <w:r>
        <w:rPr>
          <w:rFonts w:ascii="黑体" w:eastAsia="黑体"/>
          <w:sz w:val="32"/>
          <w:szCs w:val="22"/>
          <w:lang w:val="zh-CN"/>
        </w:rPr>
        <w:t>有限公司（单位盖章）</w:t>
      </w:r>
    </w:p>
    <w:p>
      <w:pPr>
        <w:snapToGrid w:val="0"/>
        <w:spacing w:line="360" w:lineRule="auto"/>
        <w:jc w:val="both"/>
        <w:rPr>
          <w:rFonts w:asciiTheme="minorEastAsia" w:hAnsiTheme="minorEastAsia" w:eastAsiaTheme="minorEastAsia" w:cstheme="minorEastAsia"/>
          <w:bCs/>
          <w:sz w:val="44"/>
          <w:szCs w:val="44"/>
        </w:rPr>
        <w:sectPr>
          <w:headerReference r:id="rId4"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pPr>
        <w:snapToGrid w:val="0"/>
        <w:spacing w:line="360" w:lineRule="auto"/>
        <w:jc w:val="center"/>
        <w:rPr>
          <w:rFonts w:asciiTheme="minorEastAsia" w:hAnsiTheme="minorEastAsia" w:eastAsiaTheme="minorEastAsia" w:cstheme="minorEastAsia"/>
          <w:b/>
          <w:sz w:val="56"/>
          <w:szCs w:val="52"/>
        </w:rPr>
      </w:pPr>
      <w:r>
        <w:rPr>
          <w:rFonts w:hint="eastAsia" w:asciiTheme="minorEastAsia" w:hAnsiTheme="minorEastAsia" w:eastAsiaTheme="minorEastAsia" w:cstheme="minorEastAsia"/>
          <w:b/>
          <w:sz w:val="52"/>
          <w:szCs w:val="52"/>
        </w:rPr>
        <w:t>目   录</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rPr>
          <w:rFonts w:hint="eastAsia" w:asciiTheme="minorEastAsia" w:hAnsiTheme="minorEastAsia" w:eastAsiaTheme="minorEastAsia" w:cstheme="minorEastAsia"/>
          <w:bCs w:val="0"/>
          <w:sz w:val="44"/>
          <w:szCs w:val="44"/>
        </w:rPr>
        <w:fldChar w:fldCharType="begin"/>
      </w:r>
      <w:r>
        <w:rPr>
          <w:rFonts w:hint="eastAsia" w:asciiTheme="minorEastAsia" w:hAnsiTheme="minorEastAsia" w:eastAsiaTheme="minorEastAsia" w:cstheme="minorEastAsia"/>
          <w:bCs w:val="0"/>
          <w:sz w:val="44"/>
          <w:szCs w:val="44"/>
        </w:rPr>
        <w:instrText xml:space="preserve"> TOC \o "1-1" \h \z \u </w:instrText>
      </w:r>
      <w:r>
        <w:rPr>
          <w:rFonts w:hint="eastAsia" w:asciiTheme="minorEastAsia" w:hAnsiTheme="minorEastAsia" w:eastAsiaTheme="minorEastAsia" w:cstheme="minorEastAsia"/>
          <w:bCs w:val="0"/>
          <w:sz w:val="44"/>
          <w:szCs w:val="44"/>
        </w:rPr>
        <w:fldChar w:fldCharType="separate"/>
      </w:r>
      <w:r>
        <w:fldChar w:fldCharType="begin"/>
      </w:r>
      <w:r>
        <w:instrText xml:space="preserve"> HYPERLINK \l "_Toc471818699" </w:instrText>
      </w:r>
      <w:r>
        <w:fldChar w:fldCharType="separate"/>
      </w:r>
      <w:r>
        <w:rPr>
          <w:rFonts w:hint="eastAsia" w:asciiTheme="minorEastAsia" w:hAnsiTheme="minorEastAsia" w:eastAsiaTheme="minorEastAsia" w:cstheme="minorEastAsia"/>
          <w:bCs w:val="0"/>
          <w:sz w:val="44"/>
          <w:szCs w:val="44"/>
        </w:rPr>
        <w:t>竞争性磋商采购公告</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2</w:t>
      </w:r>
      <w:r>
        <w:rPr>
          <w:rFonts w:hint="eastAsia" w:asciiTheme="minorEastAsia" w:hAnsiTheme="minorEastAsia" w:eastAsiaTheme="minorEastAsia" w:cstheme="minorEastAsia"/>
          <w:bCs w:val="0"/>
          <w:sz w:val="44"/>
          <w:szCs w:val="44"/>
        </w:rPr>
        <w:fldChar w:fldCharType="end"/>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"_Toc471818700" </w:instrText>
      </w:r>
      <w:r>
        <w:fldChar w:fldCharType="separate"/>
      </w:r>
      <w:r>
        <w:rPr>
          <w:rFonts w:hint="eastAsia" w:asciiTheme="minorEastAsia" w:hAnsiTheme="minorEastAsia" w:eastAsiaTheme="minorEastAsia" w:cstheme="minorEastAsia"/>
          <w:bCs w:val="0"/>
          <w:sz w:val="44"/>
          <w:szCs w:val="44"/>
        </w:rPr>
        <w:t>第一章 总  则</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6</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"_Toc471818701" </w:instrText>
      </w:r>
      <w:r>
        <w:fldChar w:fldCharType="separate"/>
      </w:r>
      <w:r>
        <w:rPr>
          <w:rFonts w:hint="eastAsia" w:asciiTheme="minorEastAsia" w:hAnsiTheme="minorEastAsia" w:eastAsiaTheme="minorEastAsia" w:cstheme="minorEastAsia"/>
          <w:bCs w:val="0"/>
          <w:sz w:val="44"/>
          <w:szCs w:val="44"/>
        </w:rPr>
        <w:t>第二章 响应文件</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8</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"_Toc471818702" </w:instrText>
      </w:r>
      <w:r>
        <w:fldChar w:fldCharType="separate"/>
      </w:r>
      <w:r>
        <w:rPr>
          <w:rFonts w:hint="eastAsia" w:asciiTheme="minorEastAsia" w:hAnsiTheme="minorEastAsia" w:eastAsiaTheme="minorEastAsia" w:cstheme="minorEastAsia"/>
          <w:bCs w:val="0"/>
          <w:sz w:val="44"/>
          <w:szCs w:val="44"/>
        </w:rPr>
        <w:t>第三章 响应文件密封和提交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0</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"_Toc471818703" </w:instrText>
      </w:r>
      <w:r>
        <w:fldChar w:fldCharType="separate"/>
      </w:r>
      <w:r>
        <w:rPr>
          <w:rFonts w:hint="eastAsia" w:asciiTheme="minorEastAsia" w:hAnsiTheme="minorEastAsia" w:eastAsiaTheme="minorEastAsia" w:cstheme="minorEastAsia"/>
          <w:bCs w:val="0"/>
          <w:sz w:val="44"/>
          <w:szCs w:val="44"/>
        </w:rPr>
        <w:t>第四章 磋商报价</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1</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"_Toc471818704" </w:instrText>
      </w:r>
      <w:r>
        <w:fldChar w:fldCharType="separate"/>
      </w:r>
      <w:r>
        <w:rPr>
          <w:rFonts w:hint="eastAsia" w:asciiTheme="minorEastAsia" w:hAnsiTheme="minorEastAsia" w:eastAsiaTheme="minorEastAsia" w:cstheme="minorEastAsia"/>
          <w:bCs w:val="0"/>
          <w:sz w:val="44"/>
          <w:szCs w:val="44"/>
        </w:rPr>
        <w:t>第五章 磋商、评审、评定成交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2</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"_Toc471818705" </w:instrText>
      </w:r>
      <w:r>
        <w:fldChar w:fldCharType="separate"/>
      </w:r>
      <w:r>
        <w:rPr>
          <w:rFonts w:hint="eastAsia" w:asciiTheme="minorEastAsia" w:hAnsiTheme="minorEastAsia" w:eastAsiaTheme="minorEastAsia" w:cstheme="minorEastAsia"/>
          <w:bCs w:val="0"/>
          <w:sz w:val="44"/>
          <w:szCs w:val="44"/>
        </w:rPr>
        <w:t>第六章 格式附表</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asciiTheme="minorEastAsia" w:hAnsiTheme="minorEastAsia" w:eastAsiaTheme="minorEastAsia" w:cstheme="minorEastAsia"/>
          <w:bCs w:val="0"/>
          <w:sz w:val="44"/>
          <w:szCs w:val="44"/>
        </w:rPr>
        <w:t>5</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"_Toc471818706" </w:instrText>
      </w:r>
      <w:r>
        <w:fldChar w:fldCharType="separate"/>
      </w:r>
      <w:r>
        <w:rPr>
          <w:rFonts w:hint="eastAsia" w:asciiTheme="minorEastAsia" w:hAnsiTheme="minorEastAsia" w:eastAsiaTheme="minorEastAsia" w:cstheme="minorEastAsia"/>
          <w:bCs w:val="0"/>
          <w:sz w:val="44"/>
          <w:szCs w:val="44"/>
        </w:rPr>
        <w:t xml:space="preserve">第七章 </w:t>
      </w:r>
      <w:bookmarkStart w:id="3" w:name="_Hlt475521486"/>
      <w:bookmarkStart w:id="4" w:name="_Hlt475521487"/>
      <w:r>
        <w:rPr>
          <w:rFonts w:hint="eastAsia" w:asciiTheme="minorEastAsia" w:hAnsiTheme="minorEastAsia" w:eastAsiaTheme="minorEastAsia" w:cstheme="minorEastAsia"/>
          <w:bCs w:val="0"/>
          <w:sz w:val="44"/>
          <w:szCs w:val="44"/>
        </w:rPr>
        <w:t>采</w:t>
      </w:r>
      <w:bookmarkEnd w:id="3"/>
      <w:bookmarkEnd w:id="4"/>
      <w:r>
        <w:rPr>
          <w:rFonts w:hint="eastAsia" w:asciiTheme="minorEastAsia" w:hAnsiTheme="minorEastAsia" w:eastAsiaTheme="minorEastAsia" w:cstheme="minorEastAsia"/>
          <w:bCs w:val="0"/>
          <w:sz w:val="44"/>
          <w:szCs w:val="44"/>
        </w:rPr>
        <w:t>购需求</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2</w:t>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3</w:t>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第八章 评审办法</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2</w:t>
      </w:r>
      <w:r>
        <w:rPr>
          <w:rFonts w:asciiTheme="minorEastAsia" w:hAnsiTheme="minorEastAsia" w:eastAsiaTheme="minorEastAsia" w:cstheme="minorEastAsia"/>
          <w:bCs w:val="0"/>
          <w:sz w:val="44"/>
          <w:szCs w:val="44"/>
        </w:rPr>
        <w:t>4</w:t>
      </w:r>
    </w:p>
    <w:p>
      <w:pPr>
        <w:adjustRightInd w:val="0"/>
        <w:snapToGrid w:val="0"/>
        <w:spacing w:line="360" w:lineRule="auto"/>
        <w:ind w:firstLine="883" w:firstLineChars="200"/>
        <w:rPr>
          <w:rFonts w:asciiTheme="minorEastAsia" w:hAnsiTheme="minorEastAsia" w:eastAsiaTheme="minorEastAsia" w:cstheme="minorEastAsia"/>
          <w:b/>
          <w:sz w:val="22"/>
        </w:rPr>
        <w:sectPr>
          <w:footerReference r:id="rId7" w:type="first"/>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b/>
          <w:sz w:val="44"/>
          <w:szCs w:val="44"/>
        </w:rPr>
        <w:fldChar w:fldCharType="end"/>
      </w: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p>
    <w:p>
      <w:pPr>
        <w:pStyle w:val="10"/>
        <w:tabs>
          <w:tab w:val="right" w:leader="dot" w:pos="8296"/>
        </w:tabs>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第九章 合同</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26</w:t>
      </w:r>
    </w:p>
    <w:p>
      <w:pPr>
        <w:pStyle w:val="3"/>
        <w:numPr>
          <w:ilvl w:val="0"/>
          <w:numId w:val="0"/>
        </w:numPr>
        <w:snapToGrid w:val="0"/>
        <w:spacing w:before="0" w:line="360" w:lineRule="auto"/>
        <w:ind w:left="840" w:leftChars="400" w:firstLine="1908" w:firstLineChars="396"/>
        <w:jc w:val="both"/>
        <w:rPr>
          <w:rFonts w:asciiTheme="minorEastAsia" w:hAnsiTheme="minorEastAsia" w:eastAsiaTheme="minorEastAsia" w:cstheme="minorEastAsia"/>
          <w:sz w:val="48"/>
          <w:szCs w:val="22"/>
        </w:rPr>
        <w:sectPr>
          <w:footerReference r:id="rId9" w:type="first"/>
          <w:footerReference r:id="rId8" w:type="default"/>
          <w:type w:val="continuous"/>
          <w:pgSz w:w="11906" w:h="16838"/>
          <w:pgMar w:top="1440" w:right="1800" w:bottom="1440" w:left="1800" w:header="851" w:footer="992" w:gutter="0"/>
          <w:cols w:space="720" w:num="1"/>
          <w:titlePg/>
          <w:docGrid w:type="lines" w:linePitch="312" w:charSpace="0"/>
        </w:sectPr>
      </w:pPr>
    </w:p>
    <w:p>
      <w:pPr>
        <w:pStyle w:val="17"/>
        <w:keepNext/>
        <w:keepLines/>
        <w:spacing w:before="156" w:beforeLines="50" w:after="0" w:line="360" w:lineRule="auto"/>
        <w:ind w:left="-420" w:leftChars="-200"/>
        <w:rPr>
          <w:rFonts w:asciiTheme="minorEastAsia" w:hAnsiTheme="minorEastAsia" w:eastAsiaTheme="minorEastAsia" w:cstheme="minorEastAsia"/>
          <w:b/>
          <w:bCs/>
          <w:color w:val="000000"/>
          <w:lang w:val="en-US" w:eastAsia="zh-CN"/>
        </w:rPr>
      </w:pPr>
      <w:r>
        <w:rPr>
          <w:rFonts w:hint="eastAsia" w:asciiTheme="minorEastAsia" w:hAnsiTheme="minorEastAsia" w:eastAsiaTheme="minorEastAsia" w:cstheme="minorEastAsia"/>
          <w:b/>
          <w:bCs/>
          <w:color w:val="000000"/>
          <w:sz w:val="36"/>
          <w:szCs w:val="36"/>
          <w:lang w:val="en-US" w:eastAsia="zh-CN"/>
        </w:rPr>
        <w:t>新丰苑警网融合站室展陈设计施工一体化工程项目</w:t>
      </w:r>
    </w:p>
    <w:p>
      <w:pPr>
        <w:pStyle w:val="17"/>
        <w:keepNext/>
        <w:keepLines/>
        <w:spacing w:before="156" w:beforeLines="50" w:after="0"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color w:val="000000"/>
          <w:sz w:val="36"/>
          <w:szCs w:val="36"/>
        </w:rPr>
        <w:t>竞争性</w:t>
      </w:r>
      <w:r>
        <w:rPr>
          <w:rFonts w:hint="eastAsia" w:asciiTheme="minorEastAsia" w:hAnsiTheme="minorEastAsia" w:eastAsiaTheme="minorEastAsia" w:cstheme="minorEastAsia"/>
          <w:b/>
          <w:bCs/>
          <w:color w:val="000000"/>
          <w:sz w:val="36"/>
          <w:szCs w:val="36"/>
          <w:lang w:val="en-US" w:eastAsia="zh-CN"/>
        </w:rPr>
        <w:t>磋商</w:t>
      </w:r>
      <w:r>
        <w:rPr>
          <w:rFonts w:hint="eastAsia" w:asciiTheme="minorEastAsia" w:hAnsiTheme="minorEastAsia" w:eastAsiaTheme="minorEastAsia" w:cstheme="minorEastAsia"/>
          <w:b/>
          <w:bCs/>
          <w:color w:val="000000"/>
          <w:sz w:val="36"/>
          <w:szCs w:val="36"/>
        </w:rPr>
        <w:t>公告</w:t>
      </w:r>
      <w:bookmarkEnd w:id="0"/>
      <w:bookmarkEnd w:id="1"/>
      <w:bookmarkEnd w:id="2"/>
    </w:p>
    <w:p>
      <w:pPr>
        <w:pStyle w:val="18"/>
        <w:pBdr>
          <w:top w:val="single" w:color="auto" w:sz="4" w:space="0"/>
          <w:left w:val="single" w:color="auto" w:sz="4" w:space="0"/>
          <w:bottom w:val="single" w:color="auto" w:sz="4" w:space="0"/>
          <w:right w:val="single" w:color="auto" w:sz="4" w:space="0"/>
        </w:pBdr>
        <w:spacing w:before="156" w:beforeLines="50" w:line="360"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000000"/>
          <w:sz w:val="24"/>
          <w:szCs w:val="24"/>
          <w:lang w:val="en-US" w:eastAsia="zh-CN"/>
        </w:rPr>
        <w:t>项目概况：</w:t>
      </w:r>
      <w:r>
        <w:rPr>
          <w:rFonts w:hint="eastAsia" w:asciiTheme="minorEastAsia" w:hAnsiTheme="minorEastAsia" w:eastAsiaTheme="minorEastAsia" w:cstheme="minorEastAsia"/>
          <w:color w:val="000000"/>
          <w:sz w:val="24"/>
          <w:szCs w:val="24"/>
          <w:u w:val="single"/>
          <w:lang w:val="en-US" w:eastAsia="zh-CN"/>
        </w:rPr>
        <w:t>新丰苑警网融合站室展陈设计施工一体化工程</w:t>
      </w:r>
      <w:r>
        <w:rPr>
          <w:rFonts w:hint="eastAsia" w:asciiTheme="minorEastAsia" w:hAnsiTheme="minorEastAsia" w:eastAsiaTheme="minorEastAsia" w:cstheme="minorEastAsia"/>
          <w:color w:val="000000"/>
          <w:sz w:val="24"/>
          <w:szCs w:val="24"/>
        </w:rPr>
        <w:t>采购项目的潜在供应商应在</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color w:val="000000"/>
          <w:sz w:val="24"/>
          <w:szCs w:val="24"/>
        </w:rPr>
        <w:t>获取釆购文件, 并于</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w:t>
      </w:r>
      <w:r>
        <w:rPr>
          <w:rFonts w:hint="eastAsia" w:asciiTheme="minorEastAsia" w:hAnsiTheme="minorEastAsia" w:eastAsiaTheme="minorEastAsia" w:cstheme="minorEastAsia"/>
          <w:color w:val="auto"/>
          <w:sz w:val="24"/>
          <w:szCs w:val="24"/>
          <w:u w:val="single"/>
          <w:lang w:val="zh-CN" w:eastAsia="zh-CN" w:bidi="zh-CN"/>
        </w:rPr>
        <w:t xml:space="preserve"> </w:t>
      </w:r>
      <w:r>
        <w:rPr>
          <w:rFonts w:hint="eastAsia" w:asciiTheme="minorEastAsia" w:hAnsiTheme="minorEastAsia" w:eastAsiaTheme="minorEastAsia" w:cstheme="minorEastAsia"/>
          <w:color w:val="auto"/>
          <w:sz w:val="24"/>
          <w:szCs w:val="24"/>
          <w:u w:val="single"/>
          <w:lang w:val="en-US" w:eastAsia="zh-CN" w:bidi="zh-CN"/>
        </w:rPr>
        <w:t>14</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 xml:space="preserve"> 分</w:t>
      </w:r>
      <w:r>
        <w:rPr>
          <w:rFonts w:hint="eastAsia" w:asciiTheme="minorEastAsia" w:hAnsiTheme="minorEastAsia" w:eastAsiaTheme="minorEastAsia" w:cstheme="minorEastAsia"/>
          <w:color w:val="auto"/>
          <w:sz w:val="24"/>
          <w:szCs w:val="24"/>
        </w:rPr>
        <w:t>（北京时间）前提交响应文件。</w:t>
      </w:r>
    </w:p>
    <w:p>
      <w:pPr>
        <w:pStyle w:val="18"/>
        <w:spacing w:before="156" w:beforeLines="50" w:line="360" w:lineRule="auto"/>
        <w:ind w:firstLine="0"/>
        <w:jc w:val="left"/>
        <w:rPr>
          <w:rFonts w:asciiTheme="minorEastAsia" w:hAnsiTheme="minorEastAsia" w:eastAsiaTheme="minorEastAsia" w:cstheme="minorEastAsia"/>
          <w:lang w:eastAsia="zh-CN"/>
        </w:rPr>
      </w:pPr>
      <w:r>
        <w:rPr>
          <w:rFonts w:hint="eastAsia" w:asciiTheme="minorEastAsia" w:hAnsiTheme="minorEastAsia" w:eastAsiaTheme="minorEastAsia" w:cstheme="minorEastAsia"/>
          <w:color w:val="000000"/>
        </w:rPr>
        <w:t>一、项目基本情况</w:t>
      </w:r>
      <w:r>
        <w:rPr>
          <w:rFonts w:hint="eastAsia" w:asciiTheme="minorEastAsia" w:hAnsiTheme="minorEastAsia" w:eastAsiaTheme="minorEastAsia" w:cstheme="minorEastAsia"/>
          <w:color w:val="000000"/>
          <w:lang w:eastAsia="zh-CN"/>
        </w:rPr>
        <w:t>：</w:t>
      </w:r>
    </w:p>
    <w:p>
      <w:pPr>
        <w:pStyle w:val="18"/>
        <w:spacing w:before="156" w:beforeLines="50" w:line="360" w:lineRule="auto"/>
        <w:ind w:left="440" w:firstLine="540"/>
        <w:jc w:val="left"/>
        <w:rPr>
          <w:rFonts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项目编号</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JSCY竞采磋2021-002号</w:t>
      </w:r>
    </w:p>
    <w:p>
      <w:pPr>
        <w:pStyle w:val="18"/>
        <w:spacing w:before="156" w:beforeLines="50" w:line="360" w:lineRule="auto"/>
        <w:ind w:firstLine="980"/>
        <w:jc w:val="left"/>
        <w:rPr>
          <w:rFonts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项目名称：</w:t>
      </w:r>
      <w:r>
        <w:rPr>
          <w:rFonts w:hint="eastAsia" w:asciiTheme="minorEastAsia" w:hAnsiTheme="minorEastAsia" w:eastAsiaTheme="minorEastAsia" w:cstheme="minorEastAsia"/>
          <w:b/>
          <w:bCs/>
          <w:color w:val="000000"/>
          <w:sz w:val="24"/>
          <w:szCs w:val="24"/>
          <w:lang w:val="en-US" w:eastAsia="zh-CN"/>
        </w:rPr>
        <w:t>新丰苑警网融合站室展陈设计施工一体化工程</w:t>
      </w:r>
    </w:p>
    <w:p>
      <w:pPr>
        <w:pStyle w:val="18"/>
        <w:spacing w:before="156" w:beforeLines="50" w:line="360" w:lineRule="auto"/>
        <w:ind w:firstLine="98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t>釆购方式：竞争性磋商</w:t>
      </w:r>
    </w:p>
    <w:p>
      <w:pPr>
        <w:pStyle w:val="18"/>
        <w:spacing w:before="156" w:beforeLines="50" w:line="360" w:lineRule="auto"/>
        <w:ind w:firstLine="980"/>
        <w:jc w:val="left"/>
        <w:rPr>
          <w:rFonts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预算金额：</w:t>
      </w:r>
      <w:r>
        <w:rPr>
          <w:rFonts w:hint="eastAsia" w:asciiTheme="minorEastAsia" w:hAnsiTheme="minorEastAsia" w:eastAsiaTheme="minorEastAsia" w:cstheme="minorEastAsia"/>
          <w:b/>
          <w:bCs/>
          <w:color w:val="000000"/>
          <w:sz w:val="24"/>
          <w:szCs w:val="24"/>
          <w:lang w:val="en-US" w:eastAsia="zh-CN"/>
        </w:rPr>
        <w:t>293752.26元</w:t>
      </w:r>
    </w:p>
    <w:p>
      <w:pPr>
        <w:pStyle w:val="18"/>
        <w:spacing w:before="156" w:beforeLines="50" w:line="360" w:lineRule="auto"/>
        <w:ind w:firstLine="980"/>
        <w:jc w:val="left"/>
        <w:rPr>
          <w:rFonts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sz w:val="24"/>
          <w:szCs w:val="24"/>
        </w:rPr>
        <w:t>最高限价：</w:t>
      </w:r>
      <w:r>
        <w:rPr>
          <w:rFonts w:hint="eastAsia" w:asciiTheme="minorEastAsia" w:hAnsiTheme="minorEastAsia" w:eastAsiaTheme="minorEastAsia" w:cstheme="minorEastAsia"/>
          <w:b/>
          <w:bCs/>
          <w:color w:val="000000"/>
          <w:sz w:val="24"/>
          <w:szCs w:val="24"/>
          <w:lang w:val="en-US" w:eastAsia="zh-CN"/>
        </w:rPr>
        <w:t>293752.26元</w:t>
      </w:r>
    </w:p>
    <w:p>
      <w:pPr>
        <w:pStyle w:val="18"/>
        <w:spacing w:before="156" w:beforeLines="50" w:line="360" w:lineRule="auto"/>
        <w:ind w:firstLine="964" w:firstLineChars="400"/>
        <w:jc w:val="left"/>
        <w:rPr>
          <w:rFonts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4"/>
          <w:szCs w:val="24"/>
        </w:rPr>
        <w:t>采购需求：</w:t>
      </w:r>
      <w:r>
        <w:rPr>
          <w:rFonts w:hint="eastAsia" w:asciiTheme="minorEastAsia" w:hAnsiTheme="minorEastAsia" w:eastAsiaTheme="minorEastAsia" w:cstheme="minorEastAsia"/>
          <w:b/>
          <w:bCs/>
          <w:color w:val="000000"/>
          <w:sz w:val="21"/>
          <w:szCs w:val="21"/>
          <w:lang w:val="en-US" w:eastAsia="zh-CN"/>
        </w:rPr>
        <w:t>新丰苑警网融合站室展陈设计施工一体化工程，详见工程量清单</w:t>
      </w:r>
    </w:p>
    <w:p>
      <w:pPr>
        <w:spacing w:before="156" w:beforeLines="50" w:line="360" w:lineRule="auto"/>
        <w:ind w:firstLine="964" w:firstLineChars="400"/>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本项目不接受联合体。</w:t>
      </w:r>
    </w:p>
    <w:p>
      <w:pPr>
        <w:pStyle w:val="18"/>
        <w:spacing w:before="156" w:beforeLines="50" w:line="360" w:lineRule="auto"/>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申请人的资格要求：</w:t>
      </w:r>
    </w:p>
    <w:p>
      <w:pPr>
        <w:widowControl/>
        <w:spacing w:before="156" w:beforeLines="50" w:line="360" w:lineRule="auto"/>
        <w:ind w:firstLine="960" w:firstLineChars="400"/>
        <w:jc w:val="left"/>
        <w:rPr>
          <w:rFonts w:asciiTheme="minorEastAsia" w:hAnsiTheme="minorEastAsia" w:eastAsiaTheme="minorEastAsia" w:cstheme="minorEastAsia"/>
          <w:color w:val="333333"/>
          <w:sz w:val="24"/>
        </w:rPr>
      </w:pPr>
      <w:r>
        <w:rPr>
          <w:rFonts w:hint="eastAsia" w:asciiTheme="minorEastAsia" w:hAnsiTheme="minorEastAsia" w:eastAsiaTheme="minorEastAsia" w:cstheme="minorEastAsia"/>
          <w:color w:val="000000"/>
          <w:kern w:val="0"/>
          <w:sz w:val="24"/>
          <w:lang w:bidi="ar"/>
        </w:rPr>
        <w:t>1.满足《中华人民共和国政府采购法》第二十二条规定；</w:t>
      </w:r>
    </w:p>
    <w:p>
      <w:pPr>
        <w:widowControl/>
        <w:spacing w:before="156" w:beforeLines="50" w:line="360" w:lineRule="auto"/>
        <w:ind w:firstLine="960" w:firstLineChars="400"/>
        <w:jc w:val="left"/>
        <w:rPr>
          <w:rFonts w:asciiTheme="minorEastAsia" w:hAnsiTheme="minorEastAsia" w:eastAsiaTheme="minorEastAsia" w:cstheme="minorEastAsia"/>
          <w:color w:val="000000"/>
          <w:kern w:val="0"/>
          <w:sz w:val="24"/>
          <w:u w:val="single"/>
          <w:lang w:bidi="ar"/>
        </w:rPr>
      </w:pPr>
      <w:r>
        <w:rPr>
          <w:rFonts w:hint="eastAsia" w:asciiTheme="minorEastAsia" w:hAnsiTheme="minorEastAsia" w:eastAsiaTheme="minorEastAsia" w:cstheme="minorEastAsia"/>
          <w:color w:val="000000"/>
          <w:kern w:val="0"/>
          <w:sz w:val="24"/>
          <w:lang w:bidi="ar"/>
        </w:rPr>
        <w:t>2.落实政府采购政策需满足的资格要求：</w:t>
      </w:r>
      <w:r>
        <w:rPr>
          <w:rFonts w:asciiTheme="minorEastAsia" w:hAnsiTheme="minorEastAsia" w:eastAsiaTheme="minorEastAsia" w:cstheme="minorEastAsia"/>
          <w:color w:val="000000"/>
          <w:kern w:val="0"/>
          <w:sz w:val="24"/>
          <w:u w:val="single"/>
          <w:lang w:bidi="ar"/>
        </w:rPr>
        <w:t xml:space="preserve"> </w:t>
      </w:r>
      <w:r>
        <w:rPr>
          <w:rFonts w:hint="eastAsia" w:asciiTheme="minorEastAsia" w:hAnsiTheme="minorEastAsia" w:eastAsiaTheme="minorEastAsia" w:cstheme="minorEastAsia"/>
          <w:color w:val="000000"/>
          <w:kern w:val="0"/>
          <w:sz w:val="24"/>
          <w:u w:val="single"/>
          <w:lang w:bidi="ar"/>
        </w:rPr>
        <w:t>/</w:t>
      </w:r>
      <w:r>
        <w:rPr>
          <w:rFonts w:asciiTheme="minorEastAsia" w:hAnsiTheme="minorEastAsia" w:eastAsiaTheme="minorEastAsia" w:cstheme="minorEastAsia"/>
          <w:color w:val="000000"/>
          <w:kern w:val="0"/>
          <w:sz w:val="24"/>
          <w:u w:val="single"/>
          <w:lang w:bidi="ar"/>
        </w:rPr>
        <w:t xml:space="preserve"> </w:t>
      </w:r>
    </w:p>
    <w:p>
      <w:pPr>
        <w:widowControl/>
        <w:spacing w:before="156" w:beforeLines="50" w:line="360" w:lineRule="auto"/>
        <w:ind w:firstLine="960" w:firstLineChars="4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3.本项目的特定资格要求：</w:t>
      </w:r>
    </w:p>
    <w:p>
      <w:pPr>
        <w:widowControl/>
        <w:spacing w:before="156" w:beforeLines="50" w:line="360" w:lineRule="auto"/>
        <w:ind w:firstLine="1200" w:firstLineChars="5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（1）未被“信用中国”网站（WWW.creditchina.gov.cn）或“中国政府采购网”网站（www.ccgp.gov.cn）列入失信被执行人、重大税收违法案件当事人名单、政府采购严重失信行为记录名单；</w:t>
      </w:r>
    </w:p>
    <w:p>
      <w:pPr>
        <w:widowControl/>
        <w:spacing w:before="156" w:beforeLines="50" w:line="360" w:lineRule="auto"/>
        <w:ind w:firstLine="1200" w:firstLineChars="5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（2）单位负责人为同一人或者存在直接控股、管理关系的不同供应商（包含法定代表人为同一个人的两个及两个以上法人，母公司、全资子公司及其控股公司），不得参加同一合同项下的政府采购活动；</w:t>
      </w:r>
    </w:p>
    <w:p>
      <w:pPr>
        <w:widowControl/>
        <w:spacing w:before="156" w:beforeLines="50" w:line="360" w:lineRule="auto"/>
        <w:ind w:firstLine="1200" w:firstLineChars="500"/>
        <w:jc w:val="lef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bCs/>
          <w:color w:val="000000"/>
          <w:sz w:val="24"/>
        </w:rPr>
        <w:t>具有独立履行合同所必须的资金实力和提供优质服务的能力；</w:t>
      </w:r>
    </w:p>
    <w:p>
      <w:pPr>
        <w:widowControl/>
        <w:spacing w:before="156" w:beforeLines="50" w:line="360" w:lineRule="auto"/>
        <w:ind w:firstLine="1205" w:firstLineChars="500"/>
        <w:jc w:val="left"/>
        <w:rPr>
          <w:rFonts w:asciiTheme="minorEastAsia" w:hAnsiTheme="minorEastAsia" w:eastAsiaTheme="minorEastAsia" w:cstheme="minorEastAsia"/>
          <w:sz w:val="24"/>
        </w:rPr>
      </w:pPr>
      <w:bookmarkStart w:id="5" w:name="bookmark55"/>
      <w:r>
        <w:rPr>
          <w:rFonts w:hint="eastAsia" w:asciiTheme="minorEastAsia" w:hAnsiTheme="minorEastAsia" w:eastAsiaTheme="minorEastAsia" w:cstheme="minorEastAsia"/>
          <w:b/>
          <w:bCs/>
          <w:color w:val="000000"/>
          <w:sz w:val="24"/>
        </w:rPr>
        <w:t>三</w:t>
      </w:r>
      <w:bookmarkEnd w:id="5"/>
      <w:r>
        <w:rPr>
          <w:rFonts w:hint="eastAsia" w:asciiTheme="minorEastAsia" w:hAnsiTheme="minorEastAsia" w:eastAsiaTheme="minorEastAsia" w:cstheme="minorEastAsia"/>
          <w:b/>
          <w:bCs/>
          <w:color w:val="000000"/>
          <w:sz w:val="24"/>
        </w:rPr>
        <w:t>、</w:t>
      </w:r>
      <w:r>
        <w:rPr>
          <w:rFonts w:hint="eastAsia" w:asciiTheme="minorEastAsia" w:hAnsiTheme="minorEastAsia" w:eastAsiaTheme="minorEastAsia" w:cstheme="minorEastAsia"/>
          <w:b/>
          <w:bCs/>
          <w:color w:val="000000"/>
          <w:sz w:val="24"/>
        </w:rPr>
        <w:tab/>
      </w:r>
      <w:r>
        <w:rPr>
          <w:rFonts w:hint="eastAsia" w:asciiTheme="minorEastAsia" w:hAnsiTheme="minorEastAsia" w:eastAsiaTheme="minorEastAsia" w:cstheme="minorEastAsia"/>
          <w:b/>
          <w:bCs/>
          <w:color w:val="000000"/>
          <w:sz w:val="24"/>
        </w:rPr>
        <w:t>获取采购文件：</w:t>
      </w:r>
    </w:p>
    <w:p>
      <w:pPr>
        <w:pStyle w:val="18"/>
        <w:spacing w:before="156" w:beforeLines="50" w:line="360" w:lineRule="auto"/>
        <w:ind w:left="440"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18</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rPr>
        <w:t>至</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000000"/>
          <w:sz w:val="24"/>
          <w:szCs w:val="24"/>
        </w:rPr>
        <w:t>,每天上午</w:t>
      </w:r>
      <w:r>
        <w:rPr>
          <w:rFonts w:hint="eastAsia" w:asciiTheme="minorEastAsia" w:hAnsiTheme="minorEastAsia" w:eastAsiaTheme="minorEastAsia" w:cstheme="minorEastAsia"/>
          <w:color w:val="000000"/>
          <w:sz w:val="24"/>
          <w:szCs w:val="24"/>
          <w:u w:val="single"/>
          <w:lang w:val="en-US" w:eastAsia="zh-CN"/>
        </w:rPr>
        <w:t xml:space="preserve"> 9:00  </w:t>
      </w:r>
      <w:r>
        <w:rPr>
          <w:rFonts w:hint="eastAsia" w:asciiTheme="minorEastAsia" w:hAnsiTheme="minorEastAsia" w:eastAsiaTheme="minorEastAsia" w:cstheme="minorEastAsia"/>
          <w:color w:val="000000"/>
          <w:sz w:val="24"/>
          <w:szCs w:val="24"/>
        </w:rPr>
        <w:t>至下午</w:t>
      </w:r>
      <w:r>
        <w:rPr>
          <w:rFonts w:hint="eastAsia" w:asciiTheme="minorEastAsia" w:hAnsiTheme="minorEastAsia" w:eastAsiaTheme="minorEastAsia" w:cstheme="minorEastAsia"/>
          <w:color w:val="000000"/>
          <w:sz w:val="24"/>
          <w:szCs w:val="24"/>
          <w:u w:val="single"/>
          <w:lang w:val="en-US" w:eastAsia="zh-CN"/>
        </w:rPr>
        <w:t xml:space="preserve"> 17:00  </w:t>
      </w:r>
      <w:r>
        <w:rPr>
          <w:rFonts w:hint="eastAsia" w:asciiTheme="minorEastAsia" w:hAnsiTheme="minorEastAsia" w:eastAsiaTheme="minorEastAsia" w:cstheme="minorEastAsia"/>
          <w:color w:val="000000"/>
          <w:sz w:val="24"/>
          <w:szCs w:val="24"/>
        </w:rPr>
        <w:t>至 （北京</w:t>
      </w:r>
      <w:r>
        <w:rPr>
          <w:rFonts w:hint="eastAsia" w:asciiTheme="minorEastAsia" w:hAnsiTheme="minorEastAsia" w:eastAsiaTheme="minorEastAsia" w:cstheme="minorEastAsia"/>
          <w:color w:val="000000"/>
          <w:sz w:val="24"/>
          <w:szCs w:val="24"/>
          <w:lang w:val="en-US" w:eastAsia="zh-CN"/>
        </w:rPr>
        <w:t>时间</w:t>
      </w:r>
      <w:r>
        <w:rPr>
          <w:rFonts w:hint="eastAsia" w:asciiTheme="minorEastAsia" w:hAnsiTheme="minorEastAsia" w:eastAsiaTheme="minorEastAsia" w:cstheme="minorEastAsia"/>
          <w:color w:val="000000"/>
          <w:sz w:val="24"/>
          <w:szCs w:val="24"/>
        </w:rPr>
        <w:t>，法定节假日除外）</w:t>
      </w:r>
    </w:p>
    <w:p>
      <w:pPr>
        <w:pStyle w:val="18"/>
        <w:spacing w:before="156" w:beforeLines="50" w:line="360" w:lineRule="auto"/>
        <w:ind w:firstLine="960"/>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地点：</w:t>
      </w:r>
      <w:r>
        <w:rPr>
          <w:rFonts w:hint="eastAsia" w:asciiTheme="minorEastAsia" w:hAnsiTheme="minorEastAsia" w:eastAsiaTheme="minorEastAsia" w:cstheme="minorEastAsia"/>
          <w:sz w:val="24"/>
          <w:szCs w:val="24"/>
          <w:lang w:val="en-US" w:eastAsia="zh-CN"/>
        </w:rPr>
        <w:t>常州市天宁区弘智路7号B座3楼</w:t>
      </w:r>
    </w:p>
    <w:p>
      <w:pPr>
        <w:pStyle w:val="11"/>
        <w:widowControl/>
        <w:spacing w:before="156" w:beforeLines="50" w:beforeAutospacing="0" w:afterAutospacing="0" w:line="360" w:lineRule="auto"/>
        <w:ind w:firstLine="960" w:firstLineChars="400"/>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rPr>
        <w:t>获取方式：现场获取。</w:t>
      </w:r>
    </w:p>
    <w:p>
      <w:pPr>
        <w:pStyle w:val="11"/>
        <w:widowControl/>
        <w:spacing w:before="156" w:beforeLines="50" w:beforeAutospacing="0" w:afterAutospacing="0" w:line="360" w:lineRule="auto"/>
        <w:ind w:firstLine="964" w:firstLineChars="400"/>
        <w:rPr>
          <w:rFonts w:asciiTheme="minorEastAsia" w:hAnsiTheme="minorEastAsia" w:eastAsiaTheme="minorEastAsia" w:cstheme="minorEastAsia"/>
          <w:color w:val="333333"/>
        </w:rPr>
      </w:pPr>
      <w:r>
        <w:rPr>
          <w:rFonts w:hint="eastAsia" w:asciiTheme="minorEastAsia" w:hAnsiTheme="minorEastAsia" w:eastAsiaTheme="minorEastAsia" w:cstheme="minorEastAsia"/>
          <w:b/>
          <w:bCs/>
          <w:color w:val="333333"/>
        </w:rPr>
        <w:t>报名时须提供以下资料：</w:t>
      </w:r>
    </w:p>
    <w:p>
      <w:pPr>
        <w:pStyle w:val="11"/>
        <w:widowControl/>
        <w:spacing w:before="156" w:beforeLines="50" w:beforeAutospacing="0" w:afterAutospacing="0" w:line="360" w:lineRule="auto"/>
        <w:ind w:left="840" w:leftChars="400"/>
        <w:rPr>
          <w:rFonts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（1）《竞争性磋商文件领取表》一份，格式见附件；</w:t>
      </w:r>
    </w:p>
    <w:p>
      <w:pPr>
        <w:pStyle w:val="11"/>
        <w:widowControl/>
        <w:spacing w:before="156" w:beforeLines="50" w:beforeAutospacing="0" w:afterAutospacing="0" w:line="360" w:lineRule="auto"/>
        <w:ind w:left="840" w:leftChars="400"/>
        <w:rPr>
          <w:rFonts w:asciiTheme="minorEastAsia" w:hAnsiTheme="minorEastAsia" w:eastAsiaTheme="minorEastAsia" w:cstheme="minorEastAsia"/>
          <w:color w:val="333333"/>
        </w:rPr>
      </w:pPr>
      <w:r>
        <w:rPr>
          <w:rFonts w:hint="eastAsia" w:asciiTheme="minorEastAsia" w:hAnsiTheme="minorEastAsia" w:eastAsiaTheme="minorEastAsia" w:cstheme="minorEastAsia"/>
          <w:color w:val="333333"/>
        </w:rPr>
        <w:t>（2） 营业执照副本（复印件加盖供应商单位公章）；代理机构审核无误后发送竞争性磋商文件。</w:t>
      </w:r>
    </w:p>
    <w:p>
      <w:pPr>
        <w:pStyle w:val="11"/>
        <w:widowControl/>
        <w:spacing w:before="156" w:beforeLines="50" w:beforeAutospacing="0" w:afterAutospacing="0" w:line="360" w:lineRule="auto"/>
        <w:ind w:firstLine="960" w:firstLineChars="400"/>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000000"/>
        </w:rPr>
        <w:t>售价：</w:t>
      </w:r>
      <w:r>
        <w:rPr>
          <w:rFonts w:hint="eastAsia" w:asciiTheme="minorEastAsia" w:hAnsiTheme="minorEastAsia" w:eastAsiaTheme="minorEastAsia" w:cstheme="minorEastAsia"/>
          <w:color w:val="333333"/>
          <w:shd w:val="clear" w:color="auto" w:fill="FFFFFF"/>
        </w:rPr>
        <w:t>人民币伍佰元整，</w:t>
      </w:r>
      <w:r>
        <w:rPr>
          <w:rFonts w:hint="eastAsia" w:asciiTheme="minorEastAsia" w:hAnsiTheme="minorEastAsia" w:eastAsiaTheme="minorEastAsia" w:cstheme="minorEastAsia"/>
          <w:color w:val="333333"/>
        </w:rPr>
        <w:t>竞争性磋商</w:t>
      </w:r>
      <w:r>
        <w:rPr>
          <w:rFonts w:hint="eastAsia" w:asciiTheme="minorEastAsia" w:hAnsiTheme="minorEastAsia" w:eastAsiaTheme="minorEastAsia" w:cstheme="minorEastAsia"/>
          <w:color w:val="333333"/>
          <w:shd w:val="clear" w:color="auto" w:fill="FFFFFF"/>
        </w:rPr>
        <w:t>文件售后一概不退。</w:t>
      </w:r>
    </w:p>
    <w:p>
      <w:pPr>
        <w:widowControl/>
        <w:spacing w:before="156" w:beforeLines="50" w:line="360" w:lineRule="auto"/>
        <w:ind w:firstLine="960" w:firstLineChars="400"/>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收款人名称：江苏畅誉项目管理有限公司</w:t>
      </w:r>
    </w:p>
    <w:p>
      <w:pPr>
        <w:widowControl/>
        <w:spacing w:before="156" w:beforeLines="50" w:line="360" w:lineRule="auto"/>
        <w:ind w:firstLine="960" w:firstLineChars="4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开户行名称：</w:t>
      </w:r>
      <w:r>
        <w:rPr>
          <w:rFonts w:hint="eastAsia" w:asciiTheme="minorEastAsia" w:hAnsiTheme="minorEastAsia" w:eastAsiaTheme="minorEastAsia" w:cstheme="minorEastAsia"/>
          <w:color w:val="333333"/>
          <w:sz w:val="24"/>
          <w:shd w:val="clear" w:color="auto" w:fill="FFFFFF"/>
        </w:rPr>
        <w:t>江苏江南农村商业银行股份有限公司常州市东青支行</w:t>
      </w:r>
    </w:p>
    <w:p>
      <w:pPr>
        <w:pStyle w:val="11"/>
        <w:widowControl/>
        <w:spacing w:before="156" w:beforeLines="50" w:beforeAutospacing="0" w:afterAutospacing="0" w:line="360" w:lineRule="auto"/>
        <w:ind w:firstLine="960" w:firstLineChars="400"/>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000000"/>
          <w:lang w:bidi="ar"/>
        </w:rPr>
        <w:t>银行账号：</w:t>
      </w:r>
      <w:r>
        <w:rPr>
          <w:rFonts w:hint="eastAsia" w:asciiTheme="minorEastAsia" w:hAnsiTheme="minorEastAsia" w:eastAsiaTheme="minorEastAsia" w:cstheme="minorEastAsia"/>
          <w:color w:val="333333"/>
          <w:shd w:val="clear" w:color="auto" w:fill="FFFFFF"/>
        </w:rPr>
        <w:t>1079400000009982</w:t>
      </w:r>
    </w:p>
    <w:p>
      <w:pPr>
        <w:pStyle w:val="18"/>
        <w:tabs>
          <w:tab w:val="left" w:pos="986"/>
        </w:tabs>
        <w:spacing w:before="156" w:beforeLines="50" w:line="360" w:lineRule="auto"/>
        <w:ind w:firstLine="440"/>
        <w:jc w:val="left"/>
        <w:rPr>
          <w:rFonts w:asciiTheme="minorEastAsia" w:hAnsiTheme="minorEastAsia" w:eastAsiaTheme="minorEastAsia" w:cstheme="minorEastAsia"/>
          <w:b/>
          <w:bCs/>
          <w:sz w:val="24"/>
          <w:szCs w:val="24"/>
        </w:rPr>
      </w:pPr>
      <w:bookmarkStart w:id="6" w:name="bookmark56"/>
      <w:r>
        <w:rPr>
          <w:rFonts w:hint="eastAsia" w:asciiTheme="minorEastAsia" w:hAnsiTheme="minorEastAsia" w:eastAsiaTheme="minorEastAsia" w:cstheme="minorEastAsia"/>
          <w:b/>
          <w:bCs/>
          <w:color w:val="000000"/>
          <w:sz w:val="24"/>
          <w:szCs w:val="24"/>
        </w:rPr>
        <w:t>四</w:t>
      </w:r>
      <w:bookmarkEnd w:id="6"/>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rPr>
        <w:tab/>
      </w:r>
      <w:r>
        <w:rPr>
          <w:rFonts w:hint="eastAsia" w:asciiTheme="minorEastAsia" w:hAnsiTheme="minorEastAsia" w:eastAsiaTheme="minorEastAsia" w:cstheme="minorEastAsia"/>
          <w:b/>
          <w:bCs/>
          <w:color w:val="000000"/>
          <w:sz w:val="24"/>
          <w:szCs w:val="24"/>
        </w:rPr>
        <w:t>响应文件提交</w:t>
      </w:r>
    </w:p>
    <w:p>
      <w:pPr>
        <w:pStyle w:val="18"/>
        <w:spacing w:before="156" w:beforeLines="50" w:line="360" w:lineRule="auto"/>
        <w:ind w:left="440" w:firstLine="540"/>
        <w:jc w:val="lef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szCs w:val="24"/>
          <w:u w:val="single"/>
          <w:lang w:val="en-US" w:eastAsia="zh-CN"/>
        </w:rPr>
        <w:t>2021</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31日14</w:t>
      </w:r>
      <w:r>
        <w:rPr>
          <w:rFonts w:hint="eastAsia" w:asciiTheme="minorEastAsia" w:hAnsiTheme="minorEastAsia" w:eastAsiaTheme="minorEastAsia" w:cstheme="minorEastAsia"/>
          <w:color w:val="auto"/>
          <w:sz w:val="24"/>
          <w:szCs w:val="24"/>
          <w:u w:val="single"/>
        </w:rPr>
        <w:t xml:space="preserve">点 </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color w:val="auto"/>
          <w:sz w:val="24"/>
          <w:szCs w:val="24"/>
        </w:rPr>
        <w:t>（北京时间）</w:t>
      </w:r>
    </w:p>
    <w:p>
      <w:pPr>
        <w:pStyle w:val="18"/>
        <w:spacing w:before="156" w:beforeLines="50" w:line="360" w:lineRule="auto"/>
        <w:ind w:firstLine="960"/>
        <w:jc w:val="left"/>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江苏畅誉项目管理有限公司开标室</w:t>
      </w:r>
    </w:p>
    <w:p>
      <w:pPr>
        <w:pStyle w:val="18"/>
        <w:spacing w:before="156" w:beforeLines="50" w:line="360" w:lineRule="auto"/>
        <w:ind w:firstLine="500"/>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 xml:space="preserve"> 开启</w:t>
      </w:r>
    </w:p>
    <w:p>
      <w:pPr>
        <w:pStyle w:val="18"/>
        <w:spacing w:before="156" w:beforeLines="50" w:line="360" w:lineRule="auto"/>
        <w:ind w:left="1040" w:firstLine="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w:t>
      </w:r>
      <w:r>
        <w:rPr>
          <w:rFonts w:asciiTheme="minorEastAsia" w:hAnsiTheme="minorEastAsia" w:eastAsiaTheme="minorEastAsia" w:cstheme="minorEastAsia"/>
          <w:color w:val="auto"/>
          <w:sz w:val="24"/>
          <w:szCs w:val="24"/>
          <w:u w:val="single"/>
          <w:lang w:val="en-US" w:eastAsia="zh-CN"/>
        </w:rPr>
        <w:t>1</w:t>
      </w:r>
      <w:r>
        <w:rPr>
          <w:rFonts w:hint="eastAsia" w:asciiTheme="minorEastAsia" w:hAnsiTheme="minorEastAsia" w:eastAsiaTheme="minorEastAsia" w:cstheme="minorEastAsia"/>
          <w:color w:val="auto"/>
          <w:sz w:val="24"/>
          <w:szCs w:val="24"/>
          <w:u w:val="single"/>
        </w:rPr>
        <w:t>年</w:t>
      </w:r>
      <w:r>
        <w:rPr>
          <w:rFonts w:asciiTheme="minorEastAsia" w:hAnsiTheme="minorEastAsia" w:eastAsiaTheme="minorEastAsia" w:cstheme="minorEastAsia"/>
          <w:color w:val="auto"/>
          <w:sz w:val="24"/>
          <w:szCs w:val="24"/>
          <w:u w:val="single"/>
          <w:lang w:val="en-US" w:eastAsia="zh-CN"/>
        </w:rPr>
        <w:t>3</w:t>
      </w:r>
      <w:r>
        <w:rPr>
          <w:rFonts w:hint="eastAsia" w:asciiTheme="minorEastAsia" w:hAnsiTheme="minorEastAsia" w:eastAsiaTheme="minorEastAsia" w:cstheme="minorEastAsia"/>
          <w:color w:val="auto"/>
          <w:sz w:val="24"/>
          <w:szCs w:val="24"/>
          <w:u w:val="single"/>
          <w:lang w:val="zh-CN" w:eastAsia="zh-CN" w:bidi="zh-CN"/>
        </w:rPr>
        <w:t>月</w:t>
      </w:r>
      <w:r>
        <w:rPr>
          <w:rFonts w:hint="eastAsia" w:asciiTheme="minorEastAsia" w:hAnsiTheme="minorEastAsia" w:eastAsiaTheme="minorEastAsia" w:cstheme="minorEastAsia"/>
          <w:color w:val="auto"/>
          <w:sz w:val="24"/>
          <w:szCs w:val="24"/>
          <w:u w:val="single"/>
          <w:lang w:val="en-US" w:eastAsia="zh-CN" w:bidi="zh-CN"/>
        </w:rPr>
        <w:t>31日14</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color w:val="auto"/>
          <w:sz w:val="24"/>
          <w:szCs w:val="24"/>
        </w:rPr>
        <w:t>（北京时间）</w:t>
      </w:r>
    </w:p>
    <w:p>
      <w:pPr>
        <w:pStyle w:val="18"/>
        <w:spacing w:before="156" w:beforeLines="50" w:line="360" w:lineRule="auto"/>
        <w:ind w:firstLine="960"/>
        <w:rPr>
          <w:rFonts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江苏畅誉项目管理有限公司开标室</w:t>
      </w:r>
    </w:p>
    <w:p>
      <w:pPr>
        <w:pStyle w:val="18"/>
        <w:spacing w:before="156" w:beforeLines="50" w:line="360" w:lineRule="auto"/>
        <w:ind w:firstLine="960"/>
        <w:rPr>
          <w:rFonts w:asciiTheme="minorEastAsia" w:hAnsiTheme="minorEastAsia" w:eastAsiaTheme="minorEastAsia" w:cstheme="minorEastAsia"/>
          <w:color w:val="auto"/>
          <w:sz w:val="24"/>
          <w:szCs w:val="24"/>
          <w:lang w:val="en-US" w:eastAsia="zh-CN"/>
        </w:rPr>
      </w:pPr>
    </w:p>
    <w:p>
      <w:pPr>
        <w:pStyle w:val="18"/>
        <w:numPr>
          <w:ilvl w:val="0"/>
          <w:numId w:val="2"/>
        </w:numPr>
        <w:spacing w:before="156" w:beforeLines="50" w:line="360" w:lineRule="auto"/>
        <w:ind w:firstLine="5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sz w:val="24"/>
          <w:szCs w:val="24"/>
        </w:rPr>
        <w:t>公告期限</w:t>
      </w:r>
    </w:p>
    <w:p>
      <w:pPr>
        <w:pStyle w:val="18"/>
        <w:spacing w:before="156" w:beforeLines="50" w:line="360" w:lineRule="auto"/>
        <w:ind w:left="1040"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自本公告发布之日起</w:t>
      </w:r>
      <w:r>
        <w:rPr>
          <w:rFonts w:hint="eastAsia" w:asciiTheme="minorEastAsia" w:hAnsiTheme="minorEastAsia" w:eastAsiaTheme="minorEastAsia" w:cstheme="minorEastAsia"/>
          <w:color w:val="000000"/>
          <w:sz w:val="24"/>
          <w:szCs w:val="24"/>
          <w:u w:val="single"/>
          <w:lang w:val="en-US" w:eastAsia="zh-CN"/>
        </w:rPr>
        <w:t xml:space="preserve"> 10 </w:t>
      </w:r>
      <w:r>
        <w:rPr>
          <w:rFonts w:hint="eastAsia" w:asciiTheme="minorEastAsia" w:hAnsiTheme="minorEastAsia" w:eastAsiaTheme="minorEastAsia" w:cstheme="minorEastAsia"/>
          <w:color w:val="000000"/>
          <w:sz w:val="24"/>
          <w:szCs w:val="24"/>
        </w:rPr>
        <w:t>个工作日。</w:t>
      </w:r>
    </w:p>
    <w:p>
      <w:pPr>
        <w:widowControl/>
        <w:numPr>
          <w:ilvl w:val="0"/>
          <w:numId w:val="2"/>
        </w:numPr>
        <w:spacing w:before="156" w:beforeLines="50" w:line="360" w:lineRule="auto"/>
        <w:ind w:firstLine="500"/>
        <w:jc w:val="left"/>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其他补充事宜</w:t>
      </w:r>
      <w:r>
        <w:rPr>
          <w:rFonts w:hint="eastAsia" w:asciiTheme="minorEastAsia" w:hAnsiTheme="minorEastAsia" w:eastAsiaTheme="minorEastAsia" w:cstheme="minorEastAsia"/>
          <w:color w:val="000000"/>
          <w:sz w:val="24"/>
        </w:rPr>
        <w:t xml:space="preserve"> ： </w:t>
      </w:r>
    </w:p>
    <w:p>
      <w:pPr>
        <w:pStyle w:val="18"/>
        <w:spacing w:before="156" w:beforeLines="50" w:line="360" w:lineRule="auto"/>
        <w:ind w:firstLine="482" w:firstLineChars="200"/>
        <w:jc w:val="left"/>
        <w:rPr>
          <w:rFonts w:asciiTheme="minorEastAsia" w:hAnsiTheme="minorEastAsia" w:eastAsiaTheme="minorEastAsia" w:cstheme="minorEastAsia"/>
          <w:b/>
          <w:sz w:val="24"/>
          <w:szCs w:val="24"/>
        </w:rPr>
      </w:pPr>
      <w:bookmarkStart w:id="7" w:name="bookmark57"/>
      <w:r>
        <w:rPr>
          <w:rFonts w:hint="eastAsia" w:asciiTheme="minorEastAsia" w:hAnsiTheme="minorEastAsia" w:eastAsiaTheme="minorEastAsia" w:cstheme="minorEastAsia"/>
          <w:b/>
          <w:color w:val="000000"/>
          <w:sz w:val="24"/>
          <w:szCs w:val="24"/>
        </w:rPr>
        <w:t>八</w:t>
      </w:r>
      <w:bookmarkEnd w:id="7"/>
      <w:r>
        <w:rPr>
          <w:rFonts w:hint="eastAsia" w:asciiTheme="minorEastAsia" w:hAnsiTheme="minorEastAsia" w:eastAsiaTheme="minorEastAsia" w:cstheme="minorEastAsia"/>
          <w:b/>
          <w:color w:val="000000"/>
          <w:sz w:val="24"/>
          <w:szCs w:val="24"/>
        </w:rPr>
        <w:t>、凡对本次采购提出询问，请按以下方式联系。</w:t>
      </w:r>
    </w:p>
    <w:p>
      <w:pPr>
        <w:pStyle w:val="18"/>
        <w:numPr>
          <w:ilvl w:val="0"/>
          <w:numId w:val="3"/>
        </w:numPr>
        <w:tabs>
          <w:tab w:val="left" w:pos="1574"/>
        </w:tabs>
        <w:spacing w:before="156" w:beforeLines="50" w:line="360" w:lineRule="auto"/>
        <w:ind w:left="1220" w:firstLine="0"/>
        <w:jc w:val="left"/>
        <w:rPr>
          <w:rFonts w:asciiTheme="minorEastAsia" w:hAnsiTheme="minorEastAsia" w:eastAsiaTheme="minorEastAsia" w:cstheme="minorEastAsia"/>
          <w:sz w:val="24"/>
          <w:szCs w:val="24"/>
        </w:rPr>
      </w:pPr>
      <w:bookmarkStart w:id="8" w:name="bookmark58"/>
      <w:bookmarkEnd w:id="8"/>
      <w:r>
        <w:rPr>
          <w:rFonts w:hint="eastAsia" w:asciiTheme="minorEastAsia" w:hAnsiTheme="minorEastAsia" w:eastAsiaTheme="minorEastAsia" w:cstheme="minorEastAsia"/>
          <w:color w:val="000000"/>
          <w:sz w:val="24"/>
          <w:szCs w:val="24"/>
        </w:rPr>
        <w:t>釆购人信息</w:t>
      </w:r>
      <w:r>
        <w:rPr>
          <w:rFonts w:hint="eastAsia" w:asciiTheme="minorEastAsia" w:hAnsiTheme="minorEastAsia" w:eastAsiaTheme="minorEastAsia" w:cstheme="minorEastAsia"/>
          <w:color w:val="000000"/>
          <w:sz w:val="24"/>
          <w:szCs w:val="24"/>
          <w:lang w:eastAsia="zh-CN"/>
        </w:rPr>
        <w:t>：</w:t>
      </w:r>
    </w:p>
    <w:p>
      <w:pPr>
        <w:pStyle w:val="18"/>
        <w:tabs>
          <w:tab w:val="left" w:pos="5722"/>
        </w:tabs>
        <w:spacing w:before="156" w:beforeLines="50" w:line="360" w:lineRule="auto"/>
        <w:ind w:left="1220" w:firstLine="0"/>
        <w:jc w:val="left"/>
        <w:rPr>
          <w:rFonts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名 称：</w:t>
      </w:r>
      <w:r>
        <w:rPr>
          <w:rFonts w:hint="eastAsia" w:asciiTheme="minorEastAsia" w:hAnsiTheme="minorEastAsia" w:eastAsiaTheme="minorEastAsia" w:cstheme="minorEastAsia"/>
          <w:color w:val="000000"/>
          <w:sz w:val="24"/>
          <w:szCs w:val="24"/>
          <w:lang w:val="en-US" w:eastAsia="zh-CN"/>
        </w:rPr>
        <w:t>常州市天宁区青龙街道社区服务中心社区服务中心</w:t>
      </w:r>
    </w:p>
    <w:p>
      <w:pPr>
        <w:pStyle w:val="18"/>
        <w:tabs>
          <w:tab w:val="left" w:pos="5722"/>
        </w:tabs>
        <w:spacing w:before="156" w:beforeLines="50" w:line="360" w:lineRule="auto"/>
        <w:ind w:left="1220" w:firstLine="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地 址：</w:t>
      </w:r>
      <w:r>
        <w:rPr>
          <w:rFonts w:hint="eastAsia" w:asciiTheme="minorEastAsia" w:hAnsiTheme="minorEastAsia" w:eastAsiaTheme="minorEastAsia" w:cstheme="minorEastAsia"/>
          <w:sz w:val="24"/>
          <w:szCs w:val="24"/>
          <w:lang w:val="en-US" w:eastAsia="zh-CN"/>
        </w:rPr>
        <w:t>常州市天宁区河海东路9号</w:t>
      </w:r>
    </w:p>
    <w:p>
      <w:pPr>
        <w:pStyle w:val="11"/>
        <w:widowControl/>
        <w:spacing w:before="156" w:beforeLines="50" w:beforeAutospacing="0" w:afterAutospacing="0" w:line="360" w:lineRule="auto"/>
        <w:ind w:firstLine="1200" w:firstLineChars="500"/>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000000"/>
        </w:rPr>
        <w:t>联系方式：</w:t>
      </w:r>
      <w:r>
        <w:rPr>
          <w:rFonts w:hint="eastAsia" w:asciiTheme="minorEastAsia" w:hAnsiTheme="minorEastAsia" w:eastAsiaTheme="minorEastAsia" w:cstheme="minorEastAsia"/>
          <w:color w:val="333333"/>
          <w:shd w:val="clear" w:color="auto" w:fill="FFFFFF"/>
        </w:rPr>
        <w:t>0519-85508920</w:t>
      </w:r>
    </w:p>
    <w:p>
      <w:pPr>
        <w:pStyle w:val="18"/>
        <w:tabs>
          <w:tab w:val="left" w:pos="5732"/>
        </w:tabs>
        <w:spacing w:before="156" w:beforeLines="50" w:line="360" w:lineRule="auto"/>
        <w:ind w:left="1220" w:firstLine="0"/>
        <w:jc w:val="left"/>
        <w:rPr>
          <w:rFonts w:asciiTheme="minorEastAsia" w:hAnsiTheme="minorEastAsia" w:eastAsiaTheme="minorEastAsia" w:cstheme="minorEastAsia"/>
          <w:sz w:val="24"/>
          <w:szCs w:val="24"/>
        </w:rPr>
      </w:pPr>
    </w:p>
    <w:p>
      <w:pPr>
        <w:pStyle w:val="18"/>
        <w:numPr>
          <w:ilvl w:val="0"/>
          <w:numId w:val="3"/>
        </w:numPr>
        <w:tabs>
          <w:tab w:val="left" w:pos="1593"/>
        </w:tabs>
        <w:spacing w:before="156" w:beforeLines="50" w:line="360" w:lineRule="auto"/>
        <w:ind w:left="1220" w:firstLine="0"/>
        <w:jc w:val="left"/>
        <w:rPr>
          <w:rFonts w:asciiTheme="minorEastAsia" w:hAnsiTheme="minorEastAsia" w:eastAsiaTheme="minorEastAsia" w:cstheme="minorEastAsia"/>
          <w:sz w:val="24"/>
          <w:szCs w:val="24"/>
        </w:rPr>
      </w:pPr>
      <w:bookmarkStart w:id="9" w:name="bookmark59"/>
      <w:bookmarkEnd w:id="9"/>
      <w:r>
        <w:rPr>
          <w:rFonts w:hint="eastAsia" w:asciiTheme="minorEastAsia" w:hAnsiTheme="minorEastAsia" w:eastAsiaTheme="minorEastAsia" w:cstheme="minorEastAsia"/>
          <w:color w:val="000000"/>
          <w:sz w:val="24"/>
          <w:szCs w:val="24"/>
        </w:rPr>
        <w:t>釆购代理机构信息</w:t>
      </w:r>
      <w:r>
        <w:rPr>
          <w:rFonts w:hint="eastAsia" w:asciiTheme="minorEastAsia" w:hAnsiTheme="minorEastAsia" w:eastAsiaTheme="minorEastAsia" w:cstheme="minorEastAsia"/>
          <w:color w:val="000000"/>
          <w:sz w:val="24"/>
          <w:szCs w:val="24"/>
          <w:lang w:eastAsia="zh-CN"/>
        </w:rPr>
        <w:t>：</w:t>
      </w:r>
    </w:p>
    <w:p>
      <w:pPr>
        <w:pStyle w:val="18"/>
        <w:tabs>
          <w:tab w:val="left" w:pos="5703"/>
        </w:tabs>
        <w:spacing w:before="156" w:beforeLines="50" w:line="360" w:lineRule="auto"/>
        <w:ind w:left="1220"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名 称：</w:t>
      </w:r>
      <w:r>
        <w:rPr>
          <w:rFonts w:hint="eastAsia" w:asciiTheme="minorEastAsia" w:hAnsiTheme="minorEastAsia" w:eastAsiaTheme="minorEastAsia" w:cstheme="minorEastAsia"/>
          <w:color w:val="000000"/>
          <w:sz w:val="24"/>
          <w:szCs w:val="24"/>
          <w:lang w:val="en-US" w:eastAsia="zh-CN"/>
        </w:rPr>
        <w:t>江苏畅誉项目管理有限公司</w:t>
      </w:r>
    </w:p>
    <w:p>
      <w:pPr>
        <w:pStyle w:val="18"/>
        <w:tabs>
          <w:tab w:val="left" w:pos="5732"/>
        </w:tabs>
        <w:spacing w:before="156" w:beforeLines="50" w:line="360" w:lineRule="auto"/>
        <w:ind w:left="1220" w:firstLine="0"/>
        <w:jc w:val="left"/>
        <w:rPr>
          <w:rFonts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地 址：</w:t>
      </w:r>
      <w:r>
        <w:rPr>
          <w:rFonts w:hint="eastAsia" w:asciiTheme="minorEastAsia" w:hAnsiTheme="minorEastAsia" w:eastAsiaTheme="minorEastAsia" w:cstheme="minorEastAsia"/>
          <w:sz w:val="24"/>
          <w:szCs w:val="24"/>
          <w:lang w:val="en-US" w:eastAsia="zh-CN"/>
        </w:rPr>
        <w:t>常州市天宁区弘智路7号B座3楼</w:t>
      </w:r>
    </w:p>
    <w:p>
      <w:pPr>
        <w:pStyle w:val="18"/>
        <w:tabs>
          <w:tab w:val="left" w:pos="5732"/>
        </w:tabs>
        <w:spacing w:before="156" w:beforeLines="50" w:line="360" w:lineRule="auto"/>
        <w:ind w:left="1220" w:firstLine="0"/>
        <w:jc w:val="left"/>
        <w:rPr>
          <w:rFonts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联系方式：</w:t>
      </w:r>
      <w:r>
        <w:rPr>
          <w:rFonts w:hint="eastAsia" w:asciiTheme="minorEastAsia" w:hAnsiTheme="minorEastAsia" w:eastAsiaTheme="minorEastAsia" w:cstheme="minorEastAsia"/>
          <w:color w:val="000000"/>
          <w:sz w:val="24"/>
          <w:szCs w:val="24"/>
          <w:lang w:val="en-US" w:eastAsia="zh-CN"/>
        </w:rPr>
        <w:t>13951203728</w:t>
      </w:r>
    </w:p>
    <w:p>
      <w:pPr>
        <w:pStyle w:val="18"/>
        <w:tabs>
          <w:tab w:val="left" w:pos="5732"/>
        </w:tabs>
        <w:spacing w:before="156" w:beforeLines="50" w:line="360" w:lineRule="auto"/>
        <w:ind w:left="1220" w:firstLine="0"/>
        <w:jc w:val="left"/>
        <w:rPr>
          <w:rFonts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pPr>
        <w:widowControl/>
        <w:shd w:val="clear" w:color="auto" w:fill="FFFFFF"/>
        <w:spacing w:before="156" w:beforeLines="50" w:line="360" w:lineRule="auto"/>
        <w:rPr>
          <w:rFonts w:asciiTheme="minorEastAsia" w:hAnsiTheme="minorEastAsia" w:eastAsiaTheme="minorEastAsia" w:cstheme="minorEastAsia"/>
          <w:b/>
          <w:bCs/>
          <w:kern w:val="0"/>
          <w:sz w:val="24"/>
        </w:rPr>
      </w:pPr>
      <w:bookmarkStart w:id="10" w:name="bookmark60"/>
      <w:bookmarkEnd w:id="10"/>
    </w:p>
    <w:p>
      <w:pPr>
        <w:pStyle w:val="12"/>
        <w:rPr>
          <w:rFonts w:asciiTheme="minorEastAsia" w:hAnsiTheme="minorEastAsia" w:eastAsiaTheme="minorEastAsia" w:cstheme="minorEastAsia"/>
          <w:b/>
          <w:bCs/>
          <w:sz w:val="24"/>
        </w:rPr>
      </w:pPr>
    </w:p>
    <w:p>
      <w:pPr>
        <w:pStyle w:val="12"/>
        <w:rPr>
          <w:rFonts w:asciiTheme="minorEastAsia" w:hAnsiTheme="minorEastAsia" w:eastAsiaTheme="minorEastAsia" w:cstheme="minorEastAsia"/>
          <w:b/>
          <w:bCs/>
          <w:sz w:val="24"/>
        </w:rPr>
      </w:pPr>
    </w:p>
    <w:p>
      <w:pPr>
        <w:pStyle w:val="12"/>
        <w:rPr>
          <w:rFonts w:asciiTheme="minorEastAsia" w:hAnsiTheme="minorEastAsia" w:eastAsiaTheme="minorEastAsia" w:cstheme="minorEastAsia"/>
          <w:b/>
          <w:bCs/>
          <w:sz w:val="24"/>
        </w:rPr>
      </w:pPr>
    </w:p>
    <w:p>
      <w:pPr>
        <w:widowControl/>
        <w:shd w:val="clear" w:color="auto" w:fill="FFFFFF"/>
        <w:spacing w:before="156" w:beforeLines="50" w:line="360" w:lineRule="auto"/>
        <w:jc w:val="center"/>
        <w:rPr>
          <w:rFonts w:asciiTheme="minorEastAsia" w:hAnsiTheme="minorEastAsia" w:eastAsiaTheme="minorEastAsia" w:cstheme="minorEastAsia"/>
          <w:b/>
          <w:bCs/>
          <w:kern w:val="0"/>
          <w:sz w:val="24"/>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kern w:val="0"/>
          <w:sz w:val="32"/>
          <w:szCs w:val="32"/>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kern w:val="0"/>
          <w:sz w:val="32"/>
          <w:szCs w:val="32"/>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kern w:val="0"/>
          <w:sz w:val="32"/>
          <w:szCs w:val="32"/>
        </w:rPr>
      </w:pPr>
    </w:p>
    <w:p>
      <w:pPr>
        <w:widowControl/>
        <w:shd w:val="clear" w:color="auto" w:fill="FFFFFF"/>
        <w:spacing w:before="156" w:beforeLines="50" w:line="360" w:lineRule="auto"/>
        <w:jc w:val="center"/>
        <w:rPr>
          <w:rFonts w:hint="eastAsia" w:asciiTheme="minorEastAsia" w:hAnsiTheme="minorEastAsia" w:eastAsiaTheme="minorEastAsia" w:cstheme="minorEastAsia"/>
          <w:b/>
          <w:bCs/>
          <w:kern w:val="0"/>
          <w:sz w:val="32"/>
          <w:szCs w:val="32"/>
        </w:rPr>
      </w:pPr>
    </w:p>
    <w:p>
      <w:pPr>
        <w:widowControl/>
        <w:shd w:val="clear" w:color="auto" w:fill="FFFFFF"/>
        <w:spacing w:before="156" w:beforeLines="50" w:line="360" w:lineRule="auto"/>
        <w:jc w:val="center"/>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kern w:val="0"/>
          <w:sz w:val="32"/>
          <w:szCs w:val="32"/>
        </w:rPr>
        <w:t>磋商文件领取申请表</w:t>
      </w:r>
    </w:p>
    <w:p>
      <w:pPr>
        <w:widowControl/>
        <w:shd w:val="clear" w:color="auto" w:fill="FFFFFF"/>
        <w:spacing w:before="156" w:beforeLines="50" w:line="360" w:lineRule="auto"/>
        <w:jc w:val="lef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项目名称：</w:t>
      </w:r>
      <w:r>
        <w:rPr>
          <w:rFonts w:hint="eastAsia" w:asciiTheme="minorEastAsia" w:hAnsiTheme="minorEastAsia" w:eastAsiaTheme="minorEastAsia" w:cstheme="minorEastAsia"/>
          <w:color w:val="auto"/>
          <w:sz w:val="24"/>
        </w:rPr>
        <w:t>新丰苑警网融合站室展陈设计施工一体化工程</w:t>
      </w:r>
    </w:p>
    <w:p>
      <w:pPr>
        <w:widowControl/>
        <w:shd w:val="clear" w:color="auto" w:fill="FFFFFF"/>
        <w:spacing w:before="156" w:beforeLines="50" w:line="360" w:lineRule="auto"/>
        <w:jc w:val="left"/>
        <w:rPr>
          <w:rFonts w:hint="eastAsia" w:asciiTheme="minorEastAsia" w:hAnsiTheme="minorEastAsia" w:eastAsiaTheme="minorEastAsia" w:cstheme="minorEastAsia"/>
          <w:color w:val="auto"/>
          <w:kern w:val="0"/>
          <w:sz w:val="24"/>
          <w:lang w:eastAsia="zh-CN"/>
        </w:rPr>
      </w:pPr>
      <w:r>
        <w:rPr>
          <w:rFonts w:hint="eastAsia" w:asciiTheme="minorEastAsia" w:hAnsiTheme="minorEastAsia" w:eastAsiaTheme="minorEastAsia" w:cstheme="minorEastAsia"/>
          <w:color w:val="auto"/>
          <w:kern w:val="0"/>
          <w:sz w:val="24"/>
          <w:shd w:val="clear" w:color="auto" w:fill="FFFFFF"/>
        </w:rPr>
        <w:t>项目编号：</w:t>
      </w:r>
      <w:r>
        <w:rPr>
          <w:rFonts w:hint="eastAsia" w:asciiTheme="minorEastAsia" w:hAnsiTheme="minorEastAsia" w:eastAsiaTheme="minorEastAsia" w:cstheme="minorEastAsia"/>
          <w:color w:val="auto"/>
          <w:sz w:val="24"/>
          <w:lang w:eastAsia="zh-CN"/>
        </w:rPr>
        <w:t>JSCY竞采磋2021-002号</w:t>
      </w:r>
    </w:p>
    <w:tbl>
      <w:tblPr>
        <w:tblStyle w:val="13"/>
        <w:tblW w:w="8336" w:type="dxa"/>
        <w:jc w:val="center"/>
        <w:tblInd w:w="0" w:type="dxa"/>
        <w:tblLayout w:type="fixed"/>
        <w:tblCellMar>
          <w:top w:w="15" w:type="dxa"/>
          <w:left w:w="15" w:type="dxa"/>
          <w:bottom w:w="15" w:type="dxa"/>
          <w:right w:w="15" w:type="dxa"/>
        </w:tblCellMar>
      </w:tblPr>
      <w:tblGrid>
        <w:gridCol w:w="8336"/>
      </w:tblGrid>
      <w:tr>
        <w:tblPrEx>
          <w:tblLayout w:type="fixed"/>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供应商全称：</w:t>
            </w:r>
          </w:p>
        </w:tc>
      </w:tr>
      <w:tr>
        <w:tblPrEx>
          <w:tblLayout w:type="fixed"/>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ind w:firstLine="482"/>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现委托</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被授权人的姓名）参与江苏畅誉项目管理有限公司该项目的磋商工作。项目磋商过程中答疑补充等相关文件都须供应商在相关网站上下载，本单位会及时关注相关网站，以防遗漏，并承诺不以此为理由提出质疑。</w:t>
            </w:r>
          </w:p>
          <w:p>
            <w:pPr>
              <w:widowControl/>
              <w:spacing w:before="156" w:beforeLines="50" w:line="360" w:lineRule="auto"/>
              <w:ind w:firstLine="482"/>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供应商（公章）：</w:t>
            </w:r>
          </w:p>
          <w:p>
            <w:pPr>
              <w:widowControl/>
              <w:spacing w:before="156" w:beforeLines="50" w:line="360" w:lineRule="auto"/>
              <w:ind w:firstLine="482"/>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法人代表人（签字或盖章）：</w:t>
            </w:r>
          </w:p>
        </w:tc>
      </w:tr>
      <w:tr>
        <w:tblPrEx>
          <w:tblLayout w:type="fixed"/>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被授权人姓名：             联系电话：</w:t>
            </w:r>
          </w:p>
        </w:tc>
      </w:tr>
      <w:tr>
        <w:tblPrEx>
          <w:tblLayout w:type="fixed"/>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第二代身份证号码：</w:t>
            </w:r>
          </w:p>
        </w:tc>
      </w:tr>
      <w:tr>
        <w:tblPrEx>
          <w:tblLayout w:type="fixed"/>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接收磋商文件指定电子邮箱：</w:t>
            </w:r>
          </w:p>
        </w:tc>
      </w:tr>
      <w:tr>
        <w:tblPrEx>
          <w:tblLayout w:type="fixed"/>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注：本表以上内容填写均需打印，以下内容需由被授权人本人在代理机构领取磋商文件时现场填写。</w:t>
            </w:r>
            <w:r>
              <w:rPr>
                <w:rFonts w:hint="eastAsia" w:asciiTheme="minorEastAsia" w:hAnsiTheme="minorEastAsia" w:eastAsiaTheme="minorEastAsia" w:cstheme="minorEastAsia"/>
                <w:kern w:val="0"/>
                <w:sz w:val="24"/>
              </w:rPr>
              <w:t xml:space="preserve"> </w:t>
            </w:r>
          </w:p>
        </w:tc>
      </w:tr>
      <w:tr>
        <w:tblPrEx>
          <w:tblLayout w:type="fixed"/>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领取时间：</w:t>
            </w:r>
          </w:p>
          <w:p>
            <w:pPr>
              <w:widowControl/>
              <w:spacing w:before="156" w:beforeLines="50" w:line="360" w:lineRule="auto"/>
              <w:jc w:val="righ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年     月      日      时      分</w:t>
            </w:r>
          </w:p>
        </w:tc>
      </w:tr>
      <w:tr>
        <w:tblPrEx>
          <w:tblLayout w:type="fixed"/>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widowControl/>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被授权人签字：</w:t>
            </w:r>
          </w:p>
        </w:tc>
      </w:tr>
    </w:tbl>
    <w:p>
      <w:pPr>
        <w:widowControl/>
        <w:shd w:val="clear" w:color="auto" w:fill="FFFFFF"/>
        <w:spacing w:before="156" w:beforeLines="50"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shd w:val="clear" w:color="auto" w:fill="FFFFFF"/>
        </w:rPr>
        <w:t>*注：供应商应完整填写表格，并对内容的真实性和有效性负全部责任。</w:t>
      </w:r>
      <w:r>
        <w:rPr>
          <w:rFonts w:hint="eastAsia" w:asciiTheme="minorEastAsia" w:hAnsiTheme="minorEastAsia" w:eastAsiaTheme="minorEastAsia" w:cstheme="minorEastAsia"/>
          <w:kern w:val="0"/>
          <w:sz w:val="24"/>
        </w:rPr>
        <w:t xml:space="preserve"> </w:t>
      </w:r>
    </w:p>
    <w:p>
      <w:pPr>
        <w:pStyle w:val="3"/>
        <w:numPr>
          <w:ilvl w:val="0"/>
          <w:numId w:val="0"/>
        </w:numPr>
        <w:snapToGrid w:val="0"/>
        <w:spacing w:before="156" w:beforeLines="50" w:line="360" w:lineRule="auto"/>
        <w:rPr>
          <w:rFonts w:asciiTheme="minorEastAsia" w:hAnsiTheme="minorEastAsia" w:eastAsiaTheme="minorEastAsia" w:cstheme="minorEastAsia"/>
          <w:sz w:val="24"/>
          <w:szCs w:val="24"/>
        </w:rPr>
      </w:pPr>
      <w:bookmarkStart w:id="11" w:name="_Toc471818700"/>
      <w:r>
        <w:rPr>
          <w:rFonts w:hint="eastAsia" w:asciiTheme="minorEastAsia" w:hAnsiTheme="minorEastAsia" w:eastAsiaTheme="minorEastAsia" w:cstheme="minorEastAsia"/>
          <w:sz w:val="24"/>
          <w:szCs w:val="24"/>
        </w:rPr>
        <w:t>第一章   总  则</w:t>
      </w:r>
      <w:bookmarkEnd w:id="11"/>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二、供应商的资格要求：</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snapToGrid w:val="0"/>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三、磋商费用</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供应商应自行承担其编制、提交响应文件以及参加招竞争性磋商活动所产生之一切费用。无论竞争性磋商活动中的做法和结果如何(包括采购单位决定取消采购的)，采购人和代理机构对上述费用不负任何责任。</w:t>
      </w:r>
    </w:p>
    <w:p>
      <w:pPr>
        <w:snapToGrid w:val="0"/>
        <w:spacing w:before="156" w:beforeLines="50" w:line="360" w:lineRule="auto"/>
        <w:ind w:firstLine="480" w:firstLineChars="200"/>
        <w:rPr>
          <w:rFonts w:asciiTheme="minorEastAsia" w:hAnsiTheme="minorEastAsia" w:eastAsiaTheme="minorEastAsia" w:cstheme="minorEastAsia"/>
          <w:sz w:val="24"/>
        </w:rPr>
      </w:pP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四、磋商文件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磋商文件的组成 </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本文件及依法对本文件所作的书面更正内容均为磋商文件的组成部分。</w:t>
      </w:r>
    </w:p>
    <w:p>
      <w:pPr>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五、供应商的义务</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1、供应商应当认真阅读磋商文件，完全明了采购项目之名称、用途、数量、质量和交货日期，完全明了供应商所应具备的资格条件。</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2、供应商应当按照磋商文件的要求编制响应文件。响应文件应对磋商文件提出的实质性要求和条件作出完全响应。</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3、供应商应在响应文件提交截止时间前，将密封的响应文件送达指定地点。</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4、供应商不得相互串通磋商报价，不得排挤其他供应商的公平竞争，损害采购人或者其他供应商合法权益。供应商不得与采购人串通，损害国家利益，公众利益或者他人的合法权益。</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5、供应商在响应文件提交截止时间前，对所提交的响应文件可以补充、修改或者撤回，并书面通知代理机构（加盖投标单位公章）。补充、修改的内容为响应文件的组成部分。</w:t>
      </w:r>
    </w:p>
    <w:p>
      <w:pPr>
        <w:spacing w:before="156" w:beforeLines="50" w:line="360" w:lineRule="auto"/>
        <w:ind w:firstLine="482" w:firstLineChars="200"/>
        <w:rPr>
          <w:rFonts w:asciiTheme="minorEastAsia" w:hAnsiTheme="minorEastAsia" w:eastAsiaTheme="minorEastAsia" w:cstheme="minorEastAsia"/>
          <w:b/>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p>
    <w:p>
      <w:pPr>
        <w:adjustRightInd w:val="0"/>
        <w:snapToGrid w:val="0"/>
        <w:spacing w:before="156" w:beforeLines="50" w:line="360" w:lineRule="auto"/>
        <w:ind w:firstLine="397"/>
        <w:jc w:val="center"/>
        <w:rPr>
          <w:rFonts w:asciiTheme="minorEastAsia" w:hAnsiTheme="minorEastAsia" w:eastAsiaTheme="minorEastAsia" w:cstheme="minorEastAsia"/>
          <w:b/>
          <w:snapToGrid w:val="0"/>
          <w:spacing w:val="-6"/>
          <w:kern w:val="0"/>
          <w:sz w:val="24"/>
        </w:rPr>
      </w:pPr>
    </w:p>
    <w:p>
      <w:pPr>
        <w:pStyle w:val="3"/>
        <w:numPr>
          <w:ilvl w:val="0"/>
          <w:numId w:val="0"/>
        </w:numPr>
        <w:spacing w:before="156" w:beforeLines="50" w:line="360" w:lineRule="auto"/>
        <w:rPr>
          <w:rFonts w:asciiTheme="minorEastAsia" w:hAnsiTheme="minorEastAsia" w:eastAsiaTheme="minorEastAsia" w:cstheme="minorEastAsia"/>
          <w:sz w:val="24"/>
          <w:szCs w:val="24"/>
        </w:rPr>
        <w:sectPr>
          <w:footerReference r:id="rId10" w:type="first"/>
          <w:pgSz w:w="11906" w:h="16838"/>
          <w:pgMar w:top="1440" w:right="1803" w:bottom="1440" w:left="1800" w:header="851" w:footer="992" w:gutter="0"/>
          <w:cols w:space="720" w:num="1"/>
          <w:titlePg/>
          <w:docGrid w:type="lines" w:linePitch="312" w:charSpace="0"/>
        </w:sectPr>
      </w:pPr>
      <w:bookmarkStart w:id="12" w:name="_Toc471818701"/>
      <w:bookmarkStart w:id="13" w:name="_Toc288738798"/>
      <w:bookmarkStart w:id="14" w:name="_Toc288738330"/>
    </w:p>
    <w:p>
      <w:pPr>
        <w:pStyle w:val="3"/>
        <w:numPr>
          <w:ilvl w:val="0"/>
          <w:numId w:val="0"/>
        </w:numPr>
        <w:spacing w:before="120" w:beforeLines="50"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响应文件</w:t>
      </w:r>
      <w:bookmarkEnd w:id="12"/>
      <w:bookmarkEnd w:id="13"/>
      <w:bookmarkEnd w:id="14"/>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15" w:name="_Toc288738799"/>
      <w:bookmarkStart w:id="16" w:name="_Toc288738331"/>
      <w:bookmarkStart w:id="17" w:name="_Toc288738405"/>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六、响应文件组成</w:t>
      </w:r>
      <w:bookmarkEnd w:id="15"/>
      <w:bookmarkEnd w:id="16"/>
      <w:bookmarkEnd w:id="17"/>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一式</w:t>
      </w:r>
      <w:r>
        <w:rPr>
          <w:rFonts w:hint="eastAsia" w:asciiTheme="minorEastAsia" w:hAnsiTheme="minorEastAsia" w:eastAsiaTheme="minorEastAsia" w:cstheme="minorEastAsia"/>
          <w:sz w:val="24"/>
          <w:u w:val="single"/>
        </w:rPr>
        <w:t xml:space="preserve"> 叁</w:t>
      </w:r>
      <w:r>
        <w:rPr>
          <w:rFonts w:hint="eastAsia" w:asciiTheme="minorEastAsia" w:hAnsiTheme="minorEastAsia" w:eastAsiaTheme="minorEastAsia" w:cstheme="minorEastAsia"/>
          <w:sz w:val="24"/>
        </w:rPr>
        <w:t>份，</w:t>
      </w:r>
      <w:r>
        <w:rPr>
          <w:rFonts w:hint="eastAsia" w:asciiTheme="minorEastAsia" w:hAnsiTheme="minorEastAsia" w:eastAsiaTheme="minorEastAsia" w:cstheme="minorEastAsia"/>
          <w:sz w:val="24"/>
          <w:u w:val="single"/>
        </w:rPr>
        <w:t>壹</w:t>
      </w:r>
      <w:r>
        <w:rPr>
          <w:rFonts w:hint="eastAsia" w:asciiTheme="minorEastAsia" w:hAnsiTheme="minorEastAsia" w:eastAsiaTheme="minorEastAsia" w:cstheme="minorEastAsia"/>
          <w:sz w:val="24"/>
        </w:rPr>
        <w:t>份正本，</w:t>
      </w:r>
      <w:r>
        <w:rPr>
          <w:rFonts w:hint="eastAsia" w:asciiTheme="minorEastAsia" w:hAnsiTheme="minorEastAsia" w:eastAsiaTheme="minorEastAsia" w:cstheme="minorEastAsia"/>
          <w:sz w:val="24"/>
          <w:u w:val="single"/>
        </w:rPr>
        <w:t xml:space="preserve"> 贰 </w:t>
      </w:r>
      <w:r>
        <w:rPr>
          <w:rFonts w:hint="eastAsia" w:asciiTheme="minorEastAsia" w:hAnsiTheme="minorEastAsia" w:eastAsiaTheme="minorEastAsia" w:cstheme="minorEastAsia"/>
          <w:sz w:val="24"/>
        </w:rPr>
        <w:t>份副本。响应文件应当符合磋商文件的要求，并应包括但不限于下列内容。</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1、供应商情况说明：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供应商简介（含供应商规模、银行资信、技术能力及装备水平等）、人员情况。</w:t>
      </w:r>
    </w:p>
    <w:p>
      <w:pPr>
        <w:snapToGrid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2、供应商资格审查材料，</w:t>
      </w:r>
      <w:r>
        <w:rPr>
          <w:rFonts w:hint="eastAsia" w:asciiTheme="minorEastAsia" w:hAnsiTheme="minorEastAsia" w:eastAsiaTheme="minorEastAsia" w:cstheme="minorEastAsia"/>
          <w:b/>
          <w:bCs/>
          <w:sz w:val="24"/>
        </w:rPr>
        <w:t>证明供应商符合资格要求的证明材料包括但不限于以下材料（按备注要求将原件或者公证件在投标截止时间前随同响应文件一并提交以供核查，过时不予接收，否则视作无效投标）：</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*1）响应函（见附件）；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*2）法定代表人参加磋商会的提供：法定代表人资格证明书（见附件）和本人身份证；委托代理人参加磋商会的提供：法定代表人资格证明书（见附件）、授权委托书（见附件）和本人身份证；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*3）“三证合一”的营业执照（事业单位的可提供“三证合一”的组织机构代码证）；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）参加政府采购活动前 3 年内在经营活动中没有重大违法记录的书面声明（见附件）；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sz w:val="24"/>
        </w:rPr>
        <w:t>供应商资格要求涉及的其它证明材料。</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3、磋商报价：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*2）分项报价表</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磋商报价的具体要求见磋商文件第四章。</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4、项目技术和实施方案，应当包括但不限于如下主题：</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1）项目技术方案</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2）项目组织实施方案和管理计划</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宋体" w:hAnsi="宋体"/>
          <w:sz w:val="24"/>
        </w:rPr>
        <w:t>拟达到的标准，配备的人员、设备配置等</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4）技术支持、售后服务方案</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5）优惠条款或承诺</w:t>
      </w:r>
    </w:p>
    <w:p>
      <w:pPr>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5、其他评审相关材料(须核查原件（或公证件）的材料必须在投标截止前携带至开标现场，否则评审中将不予计分)：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1）供应商应提交的各类证明资料；</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2）典型项目合同</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3）供应商参与本项目的技术人员一览表（提供姓名、学历、年龄、在本项目中的责任等），明确负责本项目的项目经理、技术负责人；</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bookmarkStart w:id="108" w:name="_GoBack"/>
      <w:bookmarkEnd w:id="108"/>
      <w:r>
        <w:rPr>
          <w:rFonts w:hint="eastAsia" w:asciiTheme="minorEastAsia" w:hAnsiTheme="minorEastAsia" w:eastAsiaTheme="minorEastAsia" w:cstheme="minorEastAsia"/>
          <w:sz w:val="24"/>
        </w:rPr>
        <w:t>)其他相关材料。</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6、说明</w:t>
      </w:r>
    </w:p>
    <w:p>
      <w:pPr>
        <w:spacing w:before="120" w:beforeLines="50" w:line="360" w:lineRule="auto"/>
        <w:ind w:firstLine="482" w:firstLineChars="200"/>
        <w:rPr>
          <w:rFonts w:asciiTheme="minorEastAsia" w:hAnsiTheme="minorEastAsia" w:eastAsiaTheme="minorEastAsia" w:cstheme="minorEastAsia"/>
          <w:b/>
          <w:snapToGrid w:val="0"/>
          <w:spacing w:val="-6"/>
          <w:kern w:val="0"/>
          <w:sz w:val="24"/>
        </w:rPr>
      </w:pPr>
      <w:r>
        <w:rPr>
          <w:rFonts w:hint="eastAsia" w:asciiTheme="minorEastAsia" w:hAnsiTheme="minorEastAsia" w:eastAsiaTheme="minorEastAsia" w:cstheme="minorEastAsia"/>
          <w:b/>
          <w:bCs/>
          <w:sz w:val="24"/>
        </w:rPr>
        <w:t>上述带“*”条款供应商必须在响应文件中提供，否则将作为无效响应处理。</w:t>
      </w:r>
      <w:r>
        <w:rPr>
          <w:rFonts w:hint="eastAsia" w:asciiTheme="minorEastAsia" w:hAnsiTheme="minorEastAsia" w:eastAsiaTheme="minorEastAsia" w:cstheme="minorEastAsia"/>
          <w:bCs/>
          <w:sz w:val="24"/>
        </w:rPr>
        <w:t>所有项目若有缺失或无效将可能导致响应无效且不允许在响应截止后补正。响应文件中提供复印件，并将备注要求提供的原件（或公证件）在响应截止时间前随同响应文件一并提交以供核查，过时不予接收。</w:t>
      </w: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18" w:name="_Toc288738332"/>
      <w:bookmarkStart w:id="19" w:name="_Toc288738406"/>
      <w:bookmarkStart w:id="20" w:name="_Toc288738800"/>
      <w:r>
        <w:rPr>
          <w:rFonts w:hint="eastAsia" w:asciiTheme="minorEastAsia" w:hAnsiTheme="minorEastAsia" w:eastAsiaTheme="minorEastAsia" w:cstheme="minorEastAsia"/>
          <w:b/>
          <w:sz w:val="24"/>
        </w:rPr>
        <w:t>七、供应商应认真检查磋商文件的内容是否齐全，如有遗漏，自行补齐，否则责任自负。</w:t>
      </w:r>
      <w:bookmarkEnd w:id="18"/>
      <w:bookmarkEnd w:id="19"/>
      <w:bookmarkEnd w:id="20"/>
      <w:bookmarkStart w:id="21" w:name="_Toc288738333"/>
      <w:bookmarkStart w:id="22" w:name="_Toc288738801"/>
      <w:bookmarkStart w:id="23" w:name="_Toc288738407"/>
    </w:p>
    <w:bookmarkEnd w:id="21"/>
    <w:bookmarkEnd w:id="22"/>
    <w:bookmarkEnd w:id="23"/>
    <w:p>
      <w:pPr>
        <w:pStyle w:val="3"/>
        <w:numPr>
          <w:ilvl w:val="0"/>
          <w:numId w:val="0"/>
        </w:numPr>
        <w:spacing w:before="120" w:beforeLines="50" w:line="360" w:lineRule="auto"/>
        <w:ind w:firstLine="2650" w:firstLineChars="1100"/>
        <w:jc w:val="both"/>
        <w:rPr>
          <w:rFonts w:asciiTheme="minorEastAsia" w:hAnsiTheme="minorEastAsia" w:eastAsiaTheme="minorEastAsia" w:cstheme="minorEastAsia"/>
          <w:sz w:val="24"/>
          <w:szCs w:val="24"/>
        </w:rPr>
      </w:pPr>
      <w:bookmarkStart w:id="24" w:name="_Toc471818702"/>
      <w:bookmarkStart w:id="25" w:name="_Toc288738336"/>
      <w:bookmarkStart w:id="26" w:name="_Toc288738804"/>
      <w:r>
        <w:rPr>
          <w:rFonts w:hint="eastAsia" w:asciiTheme="minorEastAsia" w:hAnsiTheme="minorEastAsia" w:eastAsiaTheme="minorEastAsia" w:cstheme="minorEastAsia"/>
          <w:sz w:val="24"/>
          <w:szCs w:val="24"/>
        </w:rPr>
        <w:t>第三章 响应文件密封和提交</w:t>
      </w:r>
      <w:bookmarkEnd w:id="24"/>
      <w:bookmarkEnd w:id="25"/>
      <w:bookmarkEnd w:id="26"/>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27" w:name="_Toc288738337"/>
      <w:bookmarkStart w:id="28" w:name="_Toc288738805"/>
      <w:bookmarkStart w:id="29" w:name="_Toc288738411"/>
      <w:r>
        <w:rPr>
          <w:rFonts w:hint="eastAsia" w:asciiTheme="minorEastAsia" w:hAnsiTheme="minorEastAsia" w:eastAsiaTheme="minorEastAsia" w:cstheme="minorEastAsia"/>
          <w:b/>
          <w:sz w:val="24"/>
        </w:rPr>
        <w:t>八、响应文件的密封与标志</w:t>
      </w:r>
      <w:bookmarkEnd w:id="27"/>
      <w:bookmarkEnd w:id="28"/>
      <w:bookmarkEnd w:id="29"/>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1、供应商应将响应文件密封。</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2、所有封袋上都应写明供应商名称、采购项目名称，采购项目编号，年月日，加盖供应商公章。</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3、供应商违反上述规定的，其响应文件将被作为无效响应文件，不予拆封和参加评审。</w:t>
      </w:r>
    </w:p>
    <w:p>
      <w:pPr>
        <w:snapToGrid w:val="0"/>
        <w:spacing w:before="120" w:beforeLines="50" w:line="360" w:lineRule="auto"/>
        <w:ind w:firstLine="480" w:firstLineChars="200"/>
        <w:rPr>
          <w:rFonts w:asciiTheme="minorEastAsia" w:hAnsiTheme="minorEastAsia" w:eastAsiaTheme="minorEastAsia" w:cstheme="minorEastAsia"/>
          <w:sz w:val="24"/>
        </w:rPr>
      </w:pP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30" w:name="_Toc288738412"/>
      <w:bookmarkStart w:id="31" w:name="_Toc288738338"/>
      <w:bookmarkStart w:id="32" w:name="_Toc288738806"/>
      <w:r>
        <w:rPr>
          <w:rFonts w:hint="eastAsia" w:asciiTheme="minorEastAsia" w:hAnsiTheme="minorEastAsia" w:eastAsiaTheme="minorEastAsia" w:cstheme="minorEastAsia"/>
          <w:b/>
          <w:sz w:val="24"/>
        </w:rPr>
        <w:t>九、响应文件提交，截止时间和地</w:t>
      </w:r>
      <w:bookmarkEnd w:id="30"/>
      <w:bookmarkEnd w:id="31"/>
      <w:bookmarkEnd w:id="32"/>
      <w:r>
        <w:rPr>
          <w:rFonts w:hint="eastAsia" w:asciiTheme="minorEastAsia" w:hAnsiTheme="minorEastAsia" w:eastAsiaTheme="minorEastAsia" w:cstheme="minorEastAsia"/>
          <w:b/>
          <w:sz w:val="24"/>
        </w:rPr>
        <w:t>点</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供应商须在竞争性磋商采购公告规定的响应文件提交截止时间之前在指定地点将响应文件提交给江苏畅誉项目管理有限公司。</w:t>
      </w:r>
    </w:p>
    <w:p>
      <w:pPr>
        <w:spacing w:before="120" w:beforeLines="50" w:line="360" w:lineRule="auto"/>
        <w:ind w:firstLine="49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b/>
          <w:spacing w:val="2"/>
          <w:sz w:val="24"/>
        </w:rPr>
        <w:t>供应商在提交响应文件时须提供法定代表人或代理人身份证原件，未提供的，代理机构不接受其响应文件，不予参加磋商和评审。</w:t>
      </w:r>
    </w:p>
    <w:p>
      <w:pPr>
        <w:spacing w:before="120" w:beforeLines="50" w:line="360" w:lineRule="auto"/>
        <w:ind w:firstLine="48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sz w:val="24"/>
        </w:rPr>
        <w:t>供应商的法定代表人或授权委托代理人未准时参加开标活动的视为自动放弃投标，其响应文件将不予评审。</w:t>
      </w:r>
    </w:p>
    <w:p>
      <w:pPr>
        <w:snapToGrid w:val="0"/>
        <w:spacing w:before="120" w:beforeLines="50" w:line="360" w:lineRule="auto"/>
        <w:ind w:firstLine="480" w:firstLineChars="200"/>
        <w:rPr>
          <w:rFonts w:asciiTheme="minorEastAsia" w:hAnsiTheme="minorEastAsia" w:eastAsiaTheme="minorEastAsia" w:cstheme="minorEastAsia"/>
          <w:sz w:val="24"/>
        </w:rPr>
      </w:pP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33" w:name="_Toc288738413"/>
      <w:bookmarkStart w:id="34" w:name="_Toc288738807"/>
      <w:bookmarkStart w:id="35" w:name="_Toc288738339"/>
      <w:r>
        <w:rPr>
          <w:rFonts w:hint="eastAsia" w:asciiTheme="minorEastAsia" w:hAnsiTheme="minorEastAsia" w:eastAsiaTheme="minorEastAsia" w:cstheme="minorEastAsia"/>
          <w:b/>
          <w:sz w:val="24"/>
        </w:rPr>
        <w:t>十、响应文件的修改和撤回</w:t>
      </w:r>
      <w:bookmarkEnd w:id="33"/>
      <w:bookmarkEnd w:id="34"/>
      <w:bookmarkEnd w:id="35"/>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adjustRightInd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3"/>
        <w:numPr>
          <w:ilvl w:val="0"/>
          <w:numId w:val="0"/>
        </w:numPr>
        <w:spacing w:before="120" w:beforeLines="50" w:line="360" w:lineRule="auto"/>
        <w:rPr>
          <w:rFonts w:asciiTheme="minorEastAsia" w:hAnsiTheme="minorEastAsia" w:eastAsiaTheme="minorEastAsia" w:cstheme="minorEastAsia"/>
          <w:sz w:val="24"/>
          <w:szCs w:val="24"/>
        </w:rPr>
      </w:pPr>
      <w:bookmarkStart w:id="36" w:name="_Toc288738340"/>
      <w:bookmarkStart w:id="37" w:name="_Toc288738808"/>
      <w:bookmarkStart w:id="38" w:name="_Toc471818703"/>
      <w:r>
        <w:rPr>
          <w:rFonts w:hint="eastAsia" w:asciiTheme="minorEastAsia" w:hAnsiTheme="minorEastAsia" w:eastAsiaTheme="minorEastAsia" w:cstheme="minorEastAsia"/>
          <w:sz w:val="24"/>
          <w:szCs w:val="24"/>
        </w:rPr>
        <w:t>第四章 磋商报价</w:t>
      </w:r>
      <w:bookmarkEnd w:id="36"/>
      <w:bookmarkEnd w:id="37"/>
      <w:bookmarkEnd w:id="38"/>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39" w:name="_Toc288738415"/>
      <w:bookmarkStart w:id="40" w:name="_Toc288738341"/>
      <w:bookmarkStart w:id="41" w:name="_Toc288738809"/>
      <w:r>
        <w:rPr>
          <w:rFonts w:hint="eastAsia" w:asciiTheme="minorEastAsia" w:hAnsiTheme="minorEastAsia" w:eastAsiaTheme="minorEastAsia" w:cstheme="minorEastAsia"/>
          <w:b/>
          <w:sz w:val="24"/>
        </w:rPr>
        <w:t>十一、</w:t>
      </w:r>
      <w:bookmarkEnd w:id="39"/>
      <w:bookmarkEnd w:id="40"/>
      <w:bookmarkEnd w:id="41"/>
      <w:r>
        <w:rPr>
          <w:rFonts w:hint="eastAsia" w:asciiTheme="minorEastAsia" w:hAnsiTheme="minorEastAsia" w:eastAsiaTheme="minorEastAsia" w:cstheme="minorEastAsia"/>
          <w:b/>
          <w:sz w:val="24"/>
        </w:rPr>
        <w:t>项目总价应包括磋商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42" w:name="_Toc288738810"/>
      <w:bookmarkStart w:id="43" w:name="_Toc288738416"/>
      <w:bookmarkStart w:id="44" w:name="_Toc288738342"/>
      <w:r>
        <w:rPr>
          <w:rFonts w:hint="eastAsia" w:asciiTheme="minorEastAsia" w:hAnsiTheme="minorEastAsia" w:eastAsiaTheme="minorEastAsia" w:cstheme="minorEastAsia"/>
          <w:b/>
          <w:sz w:val="24"/>
        </w:rPr>
        <w:t>十二、磋商报价方式</w:t>
      </w:r>
      <w:bookmarkEnd w:id="42"/>
      <w:bookmarkEnd w:id="43"/>
      <w:bookmarkEnd w:id="44"/>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1、供应商应按照磋商文件中提供的格式完整、正确填写开标一览表。开标一览表中的报价应与分项报价表的总价完全一致，如有不一致的，以开标一览表的报价为准。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报价货币为人民币，评标时以人民币为准。</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2、供应商应按照磋商文件规定格式填报投分项报价表。</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3、培训服务费用报价：由各供应商根据企业自身情况自行决定是否单列。如供应商单列培训费用，则自行将磋商文件所提供的“分项报价表”格式扩展。</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、供应商需对每部分报价包含的服务内容进行明确说明。如有特别承诺，也需明确说明。</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、本项目的最高限价（或者采购预算）为：</w:t>
      </w:r>
      <w:r>
        <w:rPr>
          <w:rFonts w:hint="eastAsia" w:asciiTheme="minorEastAsia" w:hAnsiTheme="minorEastAsia" w:eastAsiaTheme="minorEastAsia" w:cstheme="minorEastAsia"/>
          <w:b/>
          <w:color w:val="auto"/>
          <w:sz w:val="24"/>
        </w:rPr>
        <w:t>人民币：293752.26元，</w:t>
      </w:r>
      <w:r>
        <w:rPr>
          <w:rFonts w:hint="eastAsia" w:asciiTheme="minorEastAsia" w:hAnsiTheme="minorEastAsia" w:eastAsiaTheme="minorEastAsia" w:cstheme="minorEastAsia"/>
          <w:sz w:val="24"/>
        </w:rPr>
        <w:t>项目报价高于最高限价（或者采购预算）的作为无效响应处理。</w:t>
      </w:r>
    </w:p>
    <w:p>
      <w:pPr>
        <w:snapToGrid w:val="0"/>
        <w:spacing w:before="120" w:beforeLines="50" w:line="360" w:lineRule="auto"/>
        <w:ind w:firstLine="480" w:firstLineChars="200"/>
        <w:rPr>
          <w:rFonts w:asciiTheme="minorEastAsia" w:hAnsiTheme="minorEastAsia" w:eastAsiaTheme="minorEastAsia" w:cstheme="minorEastAsia"/>
          <w:sz w:val="24"/>
          <w:u w:val="single"/>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 xml:space="preserve">、磋商报价次数：本项目采用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一 </w:t>
      </w:r>
      <w:r>
        <w:rPr>
          <w:rFonts w:hint="eastAsia" w:asciiTheme="minorEastAsia" w:hAnsiTheme="minorEastAsia" w:eastAsiaTheme="minorEastAsia" w:cstheme="minorEastAsia"/>
          <w:sz w:val="24"/>
        </w:rPr>
        <w:t>次报价，响应文件的磋商报价为最终次报价，在磋商谈判结束后，磋商小组应当要求所有实质性响应的供应商在规定时间内提交最后报价，最后报价作为评分依据。</w:t>
      </w:r>
    </w:p>
    <w:p>
      <w:pPr>
        <w:snapToGrid w:val="0"/>
        <w:spacing w:before="120" w:beforeLines="50" w:line="360" w:lineRule="auto"/>
        <w:ind w:firstLine="480" w:firstLineChars="200"/>
        <w:rPr>
          <w:rFonts w:asciiTheme="minorEastAsia" w:hAnsiTheme="minorEastAsia" w:eastAsiaTheme="minorEastAsia" w:cstheme="minorEastAsia"/>
          <w:sz w:val="24"/>
          <w:u w:val="single"/>
        </w:rPr>
      </w:pPr>
    </w:p>
    <w:p>
      <w:pPr>
        <w:pStyle w:val="3"/>
        <w:numPr>
          <w:ilvl w:val="0"/>
          <w:numId w:val="0"/>
        </w:numPr>
        <w:spacing w:before="120" w:beforeLines="50" w:line="360" w:lineRule="auto"/>
        <w:rPr>
          <w:rFonts w:asciiTheme="minorEastAsia" w:hAnsiTheme="minorEastAsia" w:eastAsiaTheme="minorEastAsia" w:cstheme="minorEastAsia"/>
          <w:sz w:val="24"/>
          <w:szCs w:val="24"/>
        </w:rPr>
      </w:pPr>
      <w:bookmarkStart w:id="45" w:name="_Toc471818704"/>
      <w:bookmarkStart w:id="46" w:name="_Toc288738811"/>
      <w:bookmarkStart w:id="47" w:name="_Toc288738343"/>
      <w:r>
        <w:rPr>
          <w:rFonts w:hint="eastAsia" w:asciiTheme="minorEastAsia" w:hAnsiTheme="minorEastAsia" w:eastAsiaTheme="minorEastAsia" w:cstheme="minorEastAsia"/>
          <w:sz w:val="24"/>
          <w:szCs w:val="24"/>
        </w:rPr>
        <w:t>第五章  磋商、评审、评定成交</w:t>
      </w:r>
      <w:bookmarkEnd w:id="45"/>
      <w:bookmarkEnd w:id="46"/>
      <w:bookmarkEnd w:id="47"/>
    </w:p>
    <w:p>
      <w:pPr>
        <w:snapToGrid w:val="0"/>
        <w:spacing w:before="120" w:beforeLines="50" w:line="360" w:lineRule="auto"/>
        <w:ind w:firstLine="480" w:firstLineChars="200"/>
        <w:rPr>
          <w:rFonts w:asciiTheme="minorEastAsia" w:hAnsiTheme="minorEastAsia" w:eastAsiaTheme="minorEastAsia" w:cstheme="minorEastAsia"/>
          <w:sz w:val="24"/>
        </w:rPr>
      </w:pP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十三、评标委员会</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1、评标由依法组建的评标委员会负责。评委会由采购人代表和有关技术、经济等方面的专家组成，且人员构成符合相关规定。评委会独立工作，负责评审所有响应文件并确定中标侯选人。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2、评标委员会负责具体的评标事务，并独立履行以下职责：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1）审查、评价投标文件是否符合招标文件的商务、技术等实质性要求；</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2）要求供应商对响应文件有关事项作出澄清或者说明；</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3）对响应文件进行比较和评价；</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4）推荐中标候选人名单，或受代理机构委托按照事先确定的办法直接确定中标人；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5）向采购人、采购代理机构或者有关部门报告评标中发现的违法行为。</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3、评标委员会成员应当履行下列义务：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1）遵纪守法，客观、公正、廉洁地履行职责；</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2）按照招标文件规定的评审办法和评分标准进行评审，对评审意见承担个人责任；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3）对评标过程和结果，以及供应商的商业秘密保密；</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4）负责评标报告的起草；</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6）配合代理机构答复供应商对中标结果提出的质疑。</w:t>
      </w:r>
    </w:p>
    <w:p>
      <w:pPr>
        <w:snapToGrid w:val="0"/>
        <w:spacing w:before="120" w:beforeLines="50" w:line="360" w:lineRule="auto"/>
        <w:ind w:firstLine="480" w:firstLineChars="200"/>
        <w:rPr>
          <w:rFonts w:asciiTheme="minorEastAsia" w:hAnsiTheme="minorEastAsia" w:eastAsiaTheme="minorEastAsia" w:cstheme="minorEastAsia"/>
          <w:sz w:val="24"/>
        </w:rPr>
      </w:pP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48" w:name="_Toc288738345"/>
      <w:bookmarkStart w:id="49" w:name="_Toc288738813"/>
      <w:bookmarkStart w:id="50" w:name="_Toc288738419"/>
      <w:r>
        <w:rPr>
          <w:rFonts w:hint="eastAsia" w:asciiTheme="minorEastAsia" w:hAnsiTheme="minorEastAsia" w:eastAsiaTheme="minorEastAsia" w:cstheme="minorEastAsia"/>
          <w:b/>
          <w:sz w:val="24"/>
        </w:rPr>
        <w:t>十四、评审、评定成交方法</w:t>
      </w:r>
      <w:bookmarkEnd w:id="48"/>
      <w:bookmarkEnd w:id="49"/>
      <w:bookmarkEnd w:id="50"/>
    </w:p>
    <w:p>
      <w:pPr>
        <w:snapToGrid w:val="0"/>
        <w:spacing w:before="120" w:beforeLines="50" w:line="360" w:lineRule="auto"/>
        <w:ind w:firstLine="480" w:firstLineChars="200"/>
        <w:rPr>
          <w:rFonts w:asciiTheme="minorEastAsia" w:hAnsiTheme="minorEastAsia" w:eastAsiaTheme="minorEastAsia" w:cstheme="minorEastAsia"/>
          <w:sz w:val="24"/>
        </w:rPr>
      </w:pPr>
      <w:bookmarkStart w:id="51" w:name="_Toc288738814"/>
      <w:bookmarkStart w:id="52" w:name="_Toc288738420"/>
      <w:bookmarkStart w:id="53" w:name="_Toc288738346"/>
      <w:r>
        <w:rPr>
          <w:rFonts w:hint="eastAsia" w:asciiTheme="minorEastAsia" w:hAnsiTheme="minorEastAsia" w:eastAsiaTheme="minorEastAsia" w:cstheme="minorEastAsia"/>
          <w:sz w:val="24"/>
        </w:rPr>
        <w:t>本项目采用</w:t>
      </w:r>
      <w:r>
        <w:rPr>
          <w:rFonts w:hint="eastAsia" w:asciiTheme="minorEastAsia" w:hAnsiTheme="minorEastAsia" w:eastAsiaTheme="minorEastAsia" w:cstheme="minorEastAsia"/>
          <w:b/>
          <w:bCs/>
          <w:color w:val="000000" w:themeColor="text1"/>
          <w:sz w:val="24"/>
          <w14:textFill>
            <w14:solidFill>
              <w14:schemeClr w14:val="tx1"/>
            </w14:solidFill>
          </w14:textFill>
        </w:rPr>
        <w:t>综合评分法</w:t>
      </w:r>
      <w:r>
        <w:rPr>
          <w:rFonts w:hint="eastAsia" w:asciiTheme="minorEastAsia" w:hAnsiTheme="minorEastAsia" w:eastAsiaTheme="minorEastAsia" w:cstheme="minorEastAsia"/>
          <w:sz w:val="24"/>
        </w:rPr>
        <w:t>，响应文件满足磋商文件全部实质性要求且按照评审因素的量化指标（即评分细则）得分最高的供应商为成交人。</w:t>
      </w:r>
    </w:p>
    <w:bookmarkEnd w:id="51"/>
    <w:bookmarkEnd w:id="52"/>
    <w:bookmarkEnd w:id="53"/>
    <w:p>
      <w:pPr>
        <w:adjustRightInd w:val="0"/>
        <w:snapToGrid w:val="0"/>
        <w:spacing w:before="120" w:beforeLines="50" w:line="360" w:lineRule="auto"/>
        <w:ind w:firstLine="397"/>
        <w:rPr>
          <w:rFonts w:asciiTheme="minorEastAsia" w:hAnsiTheme="minorEastAsia" w:eastAsiaTheme="minorEastAsia" w:cstheme="minorEastAsia"/>
          <w:sz w:val="24"/>
        </w:rPr>
      </w:pPr>
    </w:p>
    <w:p>
      <w:pPr>
        <w:snapToGrid w:val="0"/>
        <w:spacing w:before="120" w:beforeLines="50" w:line="360" w:lineRule="auto"/>
        <w:ind w:firstLine="482" w:firstLineChars="200"/>
        <w:rPr>
          <w:rFonts w:asciiTheme="minorEastAsia" w:hAnsiTheme="minorEastAsia" w:eastAsiaTheme="minorEastAsia" w:cstheme="minorEastAsia"/>
          <w:b/>
          <w:sz w:val="24"/>
        </w:rPr>
      </w:pPr>
      <w:bookmarkStart w:id="54" w:name="_Toc288738817"/>
      <w:bookmarkStart w:id="55" w:name="_Toc288738423"/>
      <w:bookmarkStart w:id="56" w:name="_Toc288738349"/>
      <w:r>
        <w:rPr>
          <w:rFonts w:hint="eastAsia" w:asciiTheme="minorEastAsia" w:hAnsiTheme="minorEastAsia" w:eastAsiaTheme="minorEastAsia" w:cstheme="minorEastAsia"/>
          <w:b/>
          <w:sz w:val="24"/>
        </w:rPr>
        <w:t>十五、响应文件出现下列情况之一的，将作为无效响应文件处理，无效响应文件不予参加评审。</w:t>
      </w:r>
      <w:bookmarkEnd w:id="54"/>
      <w:bookmarkEnd w:id="55"/>
      <w:bookmarkEnd w:id="56"/>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1、响应文件未按规定标志、密封、盖章的；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2、响应文件未加盖供应商公章的；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法定代表人资格证明书或授权委托书未提供的</w:t>
      </w:r>
      <w:r>
        <w:rPr>
          <w:rFonts w:hint="eastAsia" w:asciiTheme="minorEastAsia" w:hAnsiTheme="minorEastAsia" w:eastAsiaTheme="minorEastAsia" w:cstheme="minorEastAsia"/>
          <w:sz w:val="24"/>
        </w:rPr>
        <w:t>、无供应商公章的、无法定代表人或委托代理人签字或盖章的、非原件的；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4、供应商未通过报名的或者在名称上和法人地位上与报名情况发生实质性的改变的；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5、供应商不符合磋商文件中规定资格要求的，或者资格要求证明材料提供不齐全的；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6、响应文件未按磋商文件规定的格式、内容和要求编制，响应文件字迹潦草、模糊、难以辨认；</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7、供应商在一份响应文件中，对同一采购项目报有两个或多个报价，且未书面确定以哪个报价为准的；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8、供应商在磋商报价中存在严重错误，并影响对其他供应商的评分的；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9、响应文件材料所述情况和所附相关资料不实的；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10、供应商以他人的名义投标、串通投标、以行贿手段谋取中标或者以其他弄虚作假方式投标的。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11、逾期送达的响应文件；</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12、未按磋商文件要求缴纳磋商保证金的；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13、供应商的最终磋商报价超出采购预算或者最高限价的；</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14、磋商文件明确规定无效的其他情形，或者其他被磋商小组认定无效的情况；</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15、不符合法律、法规和磋商文件规定的其他实质性要求的。</w:t>
      </w:r>
    </w:p>
    <w:p>
      <w:pPr>
        <w:snapToGrid w:val="0"/>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napToGrid w:val="0"/>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snapToGrid w:val="0"/>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18、响应文件含有采购人不能接受的附加条件的；</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19、不符合法律、法规和招标文件规定的其他实质性要求的。</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20、有下列情形之一的，视为供应商串通投标，投标无效：</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1）不同供应商的响应文件由同一单位或者个人编制；</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2）不同供应商委托同一单位或者个人办理投标事宜；</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3）不同供应商的响应文件载明的项目管理成员或者联系人员为同一人；</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4）不同供应商的响应文件异常一致或者投标报价呈规律性差异；</w:t>
      </w:r>
    </w:p>
    <w:p>
      <w:pPr>
        <w:spacing w:before="120" w:beforeLines="50"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5）不同供应商的响应文件相互混装；</w:t>
      </w:r>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6）不同供应商的投标保证金从同一单位或者个人的账户转出。</w:t>
      </w:r>
    </w:p>
    <w:p>
      <w:pPr>
        <w:snapToGrid w:val="0"/>
        <w:spacing w:before="120" w:beforeLines="50" w:line="360" w:lineRule="auto"/>
        <w:ind w:firstLine="480" w:firstLineChars="200"/>
        <w:rPr>
          <w:rFonts w:asciiTheme="minorEastAsia" w:hAnsiTheme="minorEastAsia" w:eastAsiaTheme="minorEastAsia" w:cstheme="minorEastAsia"/>
          <w:sz w:val="24"/>
        </w:rPr>
      </w:pPr>
      <w:bookmarkStart w:id="57" w:name="_Toc288738424"/>
      <w:bookmarkStart w:id="58" w:name="_Toc288738350"/>
      <w:bookmarkStart w:id="59" w:name="_Toc288738818"/>
      <w:r>
        <w:rPr>
          <w:rFonts w:hint="eastAsia" w:asciiTheme="minorEastAsia" w:hAnsiTheme="minorEastAsia" w:eastAsiaTheme="minorEastAsia" w:cstheme="minorEastAsia"/>
          <w:sz w:val="24"/>
        </w:rPr>
        <w:t>十六、评审、评定成交</w:t>
      </w:r>
      <w:bookmarkEnd w:id="57"/>
      <w:bookmarkEnd w:id="58"/>
      <w:bookmarkEnd w:id="59"/>
    </w:p>
    <w:p>
      <w:pPr>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评审由依法组建的磋商小组负责。由磋商小组出具书面评审报告，推荐成交候选供应商顺序并确定成交供应商，采购人确认。</w:t>
      </w:r>
    </w:p>
    <w:p>
      <w:pPr>
        <w:pStyle w:val="3"/>
        <w:numPr>
          <w:ilvl w:val="0"/>
          <w:numId w:val="0"/>
        </w:numPr>
        <w:spacing w:before="120" w:beforeLines="50" w:line="360" w:lineRule="auto"/>
        <w:rPr>
          <w:rFonts w:asciiTheme="minorEastAsia" w:hAnsiTheme="minorEastAsia" w:eastAsiaTheme="minorEastAsia" w:cstheme="minorEastAsia"/>
          <w:sz w:val="24"/>
          <w:szCs w:val="24"/>
        </w:rPr>
      </w:pPr>
      <w:bookmarkStart w:id="60" w:name="_Hlt518618306"/>
      <w:bookmarkEnd w:id="60"/>
      <w:bookmarkStart w:id="61" w:name="_Toc471818705"/>
      <w:bookmarkStart w:id="62" w:name="_Toc288738833"/>
      <w:bookmarkStart w:id="63" w:name="_Toc288767601"/>
      <w:bookmarkStart w:id="64" w:name="_Toc288738391"/>
      <w:r>
        <w:rPr>
          <w:rFonts w:hint="eastAsia" w:asciiTheme="minorEastAsia" w:hAnsiTheme="minorEastAsia" w:eastAsiaTheme="minorEastAsia" w:cstheme="minorEastAsia"/>
          <w:sz w:val="24"/>
          <w:szCs w:val="24"/>
        </w:rPr>
        <w:t>第六章 格式附表</w:t>
      </w:r>
      <w:bookmarkEnd w:id="61"/>
      <w:bookmarkEnd w:id="62"/>
      <w:bookmarkEnd w:id="63"/>
      <w:bookmarkEnd w:id="64"/>
    </w:p>
    <w:p>
      <w:pPr>
        <w:spacing w:before="120" w:beforeLines="50" w:line="360" w:lineRule="auto"/>
        <w:rPr>
          <w:rFonts w:asciiTheme="minorEastAsia" w:hAnsiTheme="minorEastAsia" w:eastAsiaTheme="minorEastAsia" w:cstheme="minorEastAsia"/>
          <w:b/>
          <w:sz w:val="24"/>
        </w:rPr>
      </w:pPr>
      <w:bookmarkStart w:id="65" w:name="_Toc288738393"/>
      <w:bookmarkStart w:id="66" w:name="_Toc288738835"/>
      <w:r>
        <w:rPr>
          <w:rFonts w:hint="eastAsia" w:asciiTheme="minorEastAsia" w:hAnsiTheme="minorEastAsia" w:eastAsiaTheme="minorEastAsia" w:cstheme="minorEastAsia"/>
          <w:b/>
          <w:sz w:val="24"/>
        </w:rPr>
        <w:t>附件一：</w:t>
      </w:r>
    </w:p>
    <w:bookmarkEnd w:id="65"/>
    <w:bookmarkEnd w:id="66"/>
    <w:p>
      <w:pPr>
        <w:pStyle w:val="4"/>
        <w:numPr>
          <w:ilvl w:val="1"/>
          <w:numId w:val="0"/>
        </w:numPr>
        <w:spacing w:line="380" w:lineRule="atLeas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函</w:t>
      </w:r>
    </w:p>
    <w:p>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致常州市天宁区青龙街道社区服务中心：</w:t>
      </w:r>
    </w:p>
    <w:p>
      <w:pPr>
        <w:pStyle w:val="12"/>
        <w:ind w:left="0" w:leftChars="0" w:firstLine="240" w:firstLineChars="100"/>
        <w:rPr>
          <w:rFonts w:hint="default" w:eastAsiaTheme="minorEastAsia"/>
          <w:lang w:val="en-US" w:eastAsia="zh-CN"/>
        </w:rPr>
      </w:pPr>
      <w:r>
        <w:rPr>
          <w:rFonts w:hint="eastAsia" w:asciiTheme="minorEastAsia" w:hAnsiTheme="minorEastAsia" w:eastAsiaTheme="minorEastAsia" w:cstheme="minorEastAsia"/>
          <w:color w:val="000000"/>
          <w:sz w:val="24"/>
          <w:lang w:val="en-US" w:eastAsia="zh-CN"/>
        </w:rPr>
        <w:t>江苏畅誉项目管理有限公司</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我方收到贵单位磋商文件，经仔细阅读和研究，我们决定参加本次磋商。</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1、愿意按照磋商文件的一切要求，承接项目，价格为（大写）元（人民币），（小写）元（人民币）。一旦我方中标，我方保证在</w:t>
      </w:r>
      <w:r>
        <w:rPr>
          <w:rFonts w:hint="eastAsia" w:asciiTheme="minorEastAsia" w:hAnsiTheme="minorEastAsia" w:eastAsiaTheme="minorEastAsia" w:cstheme="minorEastAsia"/>
          <w:color w:val="000000"/>
          <w:sz w:val="24"/>
          <w:u w:val="single"/>
        </w:rPr>
        <w:t>合同签订后</w:t>
      </w:r>
      <w:r>
        <w:rPr>
          <w:rFonts w:hint="eastAsia" w:asciiTheme="minorEastAsia" w:hAnsiTheme="minorEastAsia" w:eastAsiaTheme="minorEastAsia" w:cstheme="minorEastAsia"/>
          <w:color w:val="000000"/>
          <w:sz w:val="24"/>
        </w:rPr>
        <w:t>立即履行合同约定的内容。</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2、如果我们的响应文件被接受，我们将履行响应文件中规定的每一项要求，按期、按质、按量，完成任务。</w:t>
      </w:r>
    </w:p>
    <w:p>
      <w:pPr>
        <w:spacing w:line="400" w:lineRule="exact"/>
        <w:ind w:firstLine="480" w:firstLineChars="20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3、我们同意按响应文件的规定，</w:t>
      </w:r>
      <w:r>
        <w:rPr>
          <w:rFonts w:hint="eastAsia" w:asciiTheme="minorEastAsia" w:hAnsiTheme="minorEastAsia" w:eastAsiaTheme="minorEastAsia" w:cstheme="minorEastAsia"/>
          <w:color w:val="000000" w:themeColor="text1"/>
          <w:sz w:val="24"/>
          <w14:textFill>
            <w14:solidFill>
              <w14:schemeClr w14:val="tx1"/>
            </w14:solidFill>
          </w14:textFill>
        </w:rPr>
        <w:t>本响应文件的响应有效期限为开标后</w:t>
      </w:r>
      <w:r>
        <w:rPr>
          <w:rFonts w:asciiTheme="minorEastAsia" w:hAnsiTheme="minorEastAsia" w:eastAsiaTheme="minorEastAsia" w:cstheme="minorEastAsia"/>
          <w:color w:val="000000" w:themeColor="text1"/>
          <w:sz w:val="24"/>
          <w14:textFill>
            <w14:solidFill>
              <w14:schemeClr w14:val="tx1"/>
            </w14:solidFill>
          </w14:textFill>
        </w:rPr>
        <w:t>45</w:t>
      </w:r>
      <w:r>
        <w:rPr>
          <w:rFonts w:hint="eastAsia" w:asciiTheme="minorEastAsia" w:hAnsiTheme="minorEastAsia" w:eastAsiaTheme="minorEastAsia" w:cstheme="minorEastAsia"/>
          <w:color w:val="000000" w:themeColor="text1"/>
          <w:sz w:val="24"/>
          <w14:textFill>
            <w14:solidFill>
              <w14:schemeClr w14:val="tx1"/>
            </w14:solidFill>
          </w14:textFill>
        </w:rPr>
        <w:t>天。</w:t>
      </w:r>
    </w:p>
    <w:p>
      <w:pPr>
        <w:spacing w:line="400" w:lineRule="exact"/>
        <w:ind w:left="612" w:leftChars="63" w:hanging="480" w:hanging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4、我们愿意提供采购人在响应文件中要求的原始资料。</w:t>
      </w:r>
    </w:p>
    <w:p>
      <w:pPr>
        <w:spacing w:line="400" w:lineRule="exact"/>
        <w:ind w:left="693" w:hanging="561"/>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5、我们认为你们有权决定中标者。</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6、我方愿意遵守《中华人民共和国政府采购法》，并按《中华人民共和国合同法》、财政部《政府采购合同监督暂行办法》、财政部《政府采购货物和服务招标投标管理办法》合同条款履行自己的全部责任。</w:t>
      </w:r>
    </w:p>
    <w:p>
      <w:pPr>
        <w:tabs>
          <w:tab w:val="left" w:pos="315"/>
          <w:tab w:val="left" w:pos="525"/>
          <w:tab w:val="left" w:pos="945"/>
          <w:tab w:val="left" w:pos="1050"/>
        </w:tabs>
        <w:spacing w:line="400" w:lineRule="exact"/>
        <w:ind w:firstLine="360" w:firstLineChars="15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 7、我们认可并遵守磋商文件（含磋商公告、变更公告、更正公告等）的所有规定。</w:t>
      </w:r>
    </w:p>
    <w:p>
      <w:pPr>
        <w:spacing w:line="400" w:lineRule="exact"/>
        <w:ind w:firstLine="480" w:firstLineChars="200"/>
        <w:rPr>
          <w:rFonts w:asciiTheme="minorEastAsia" w:hAnsiTheme="minorEastAsia" w:eastAsiaTheme="minorEastAsia" w:cstheme="minorEastAsia"/>
          <w:color w:val="000000"/>
          <w:sz w:val="24"/>
          <w:highlight w:val="yellow"/>
        </w:rPr>
      </w:pPr>
      <w:r>
        <w:rPr>
          <w:rFonts w:asciiTheme="minorEastAsia" w:hAnsiTheme="minorEastAsia" w:eastAsiaTheme="minorEastAsia" w:cstheme="minorEastAsia"/>
          <w:color w:val="000000"/>
          <w:sz w:val="24"/>
        </w:rPr>
        <w:t>8</w:t>
      </w:r>
      <w:r>
        <w:rPr>
          <w:rFonts w:hint="eastAsia" w:asciiTheme="minorEastAsia" w:hAnsiTheme="minorEastAsia" w:eastAsiaTheme="minorEastAsia" w:cstheme="minorEastAsia"/>
          <w:color w:val="000000"/>
          <w:sz w:val="24"/>
        </w:rPr>
        <w:t>、提供下述响应文件正本一份：</w:t>
      </w:r>
    </w:p>
    <w:p>
      <w:pPr>
        <w:spacing w:line="400" w:lineRule="exact"/>
        <w:ind w:firstLine="480" w:firstLineChars="200"/>
        <w:rPr>
          <w:rFonts w:asciiTheme="minorEastAsia" w:hAnsiTheme="minorEastAsia" w:eastAsiaTheme="minorEastAsia" w:cstheme="minorEastAsia"/>
          <w:color w:val="000000"/>
          <w:sz w:val="24"/>
        </w:rPr>
      </w:pP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供应商（公章）：</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法定代表人或被授权人（签名或盖章）：</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电话：                                       传真：</w:t>
      </w:r>
    </w:p>
    <w:p>
      <w:pPr>
        <w:spacing w:line="400" w:lineRule="exact"/>
        <w:ind w:firstLine="480" w:firstLineChars="20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地址：                                       邮编：</w:t>
      </w:r>
    </w:p>
    <w:p>
      <w:pPr>
        <w:spacing w:line="400" w:lineRule="exact"/>
        <w:ind w:firstLine="48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开户名称：</w:t>
      </w:r>
    </w:p>
    <w:p>
      <w:pPr>
        <w:spacing w:line="400" w:lineRule="exact"/>
        <w:ind w:firstLine="48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开户银行：                                   开户账号：</w:t>
      </w:r>
    </w:p>
    <w:p>
      <w:pPr>
        <w:spacing w:before="120" w:beforeLines="50" w:line="360" w:lineRule="auto"/>
        <w:jc w:val="left"/>
        <w:rPr>
          <w:rFonts w:asciiTheme="minorEastAsia" w:hAnsiTheme="minorEastAsia" w:eastAsiaTheme="minorEastAsia" w:cstheme="minorEastAsia"/>
          <w:b/>
          <w:sz w:val="24"/>
        </w:rPr>
      </w:pPr>
    </w:p>
    <w:p>
      <w:pPr>
        <w:spacing w:before="120" w:beforeLines="50" w:line="360" w:lineRule="auto"/>
        <w:jc w:val="left"/>
        <w:rPr>
          <w:rFonts w:asciiTheme="minorEastAsia" w:hAnsiTheme="minorEastAsia" w:eastAsiaTheme="minorEastAsia" w:cstheme="minorEastAsia"/>
          <w:b/>
          <w:sz w:val="24"/>
        </w:rPr>
      </w:pPr>
    </w:p>
    <w:p>
      <w:pPr>
        <w:pStyle w:val="12"/>
      </w:pPr>
    </w:p>
    <w:p>
      <w:pPr>
        <w:pStyle w:val="12"/>
      </w:pPr>
    </w:p>
    <w:p>
      <w:pPr>
        <w:pStyle w:val="12"/>
      </w:pPr>
    </w:p>
    <w:p>
      <w:pPr>
        <w:pStyle w:val="12"/>
      </w:pPr>
    </w:p>
    <w:p>
      <w:pPr>
        <w:pStyle w:val="12"/>
      </w:pPr>
    </w:p>
    <w:p>
      <w:pPr>
        <w:pStyle w:val="12"/>
      </w:pPr>
    </w:p>
    <w:p>
      <w:pPr>
        <w:pStyle w:val="12"/>
      </w:pPr>
    </w:p>
    <w:p>
      <w:pPr>
        <w:spacing w:before="120" w:beforeLines="50"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附件二</w:t>
      </w:r>
    </w:p>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法定代表人资格证明书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的法定代表人。为实施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的工作，签署上述项目的响应文件、进行磋商、签署合同和处理与之有关的一切事务。</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pacing w:before="120" w:beforeLines="50" w:line="360" w:lineRule="auto"/>
        <w:rPr>
          <w:rFonts w:asciiTheme="minorEastAsia" w:hAnsiTheme="minorEastAsia" w:eastAsiaTheme="minorEastAsia" w:cstheme="minorEastAsia"/>
          <w:sz w:val="24"/>
        </w:rPr>
      </w:pP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供应商：（公章）</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法定代表人签字或盖章：</w:t>
      </w:r>
    </w:p>
    <w:p>
      <w:pPr>
        <w:spacing w:before="120" w:beforeLines="50" w:line="360" w:lineRule="auto"/>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napToGrid w:val="0"/>
        <w:spacing w:before="120" w:beforeLines="50" w:line="360" w:lineRule="auto"/>
        <w:rPr>
          <w:rFonts w:asciiTheme="minorEastAsia" w:hAnsiTheme="minorEastAsia" w:eastAsiaTheme="minorEastAsia" w:cstheme="minorEastAsia"/>
          <w:b/>
          <w:sz w:val="24"/>
        </w:rPr>
      </w:pPr>
    </w:p>
    <w:p>
      <w:pPr>
        <w:snapToGrid w:val="0"/>
        <w:spacing w:before="120" w:beforeLines="50" w:line="360" w:lineRule="auto"/>
        <w:rPr>
          <w:rFonts w:asciiTheme="minorEastAsia" w:hAnsiTheme="minorEastAsia" w:eastAsiaTheme="minorEastAsia" w:cstheme="minorEastAsia"/>
          <w:b/>
          <w:sz w:val="24"/>
        </w:rPr>
      </w:pPr>
    </w:p>
    <w:p>
      <w:pPr>
        <w:pStyle w:val="12"/>
        <w:rPr>
          <w:rFonts w:asciiTheme="minorEastAsia" w:hAnsiTheme="minorEastAsia" w:eastAsiaTheme="minorEastAsia" w:cstheme="minorEastAsia"/>
          <w:b/>
          <w:sz w:val="24"/>
          <w:szCs w:val="24"/>
        </w:rPr>
      </w:pPr>
    </w:p>
    <w:p>
      <w:pPr>
        <w:pStyle w:val="12"/>
        <w:rPr>
          <w:rFonts w:asciiTheme="minorEastAsia" w:hAnsiTheme="minorEastAsia" w:eastAsiaTheme="minorEastAsia" w:cstheme="minorEastAsia"/>
          <w:b/>
          <w:sz w:val="24"/>
          <w:szCs w:val="24"/>
        </w:rPr>
      </w:pPr>
    </w:p>
    <w:p>
      <w:pPr>
        <w:pStyle w:val="12"/>
        <w:rPr>
          <w:rFonts w:asciiTheme="minorEastAsia" w:hAnsiTheme="minorEastAsia" w:eastAsiaTheme="minorEastAsia" w:cstheme="minorEastAsia"/>
          <w:b/>
          <w:sz w:val="24"/>
          <w:szCs w:val="24"/>
        </w:rPr>
      </w:pPr>
    </w:p>
    <w:p>
      <w:pPr>
        <w:pStyle w:val="12"/>
        <w:rPr>
          <w:rFonts w:asciiTheme="minorEastAsia" w:hAnsiTheme="minorEastAsia" w:eastAsiaTheme="minorEastAsia" w:cstheme="minorEastAsia"/>
          <w:b/>
          <w:sz w:val="24"/>
          <w:szCs w:val="24"/>
        </w:rPr>
      </w:pPr>
    </w:p>
    <w:p>
      <w:pPr>
        <w:pStyle w:val="12"/>
        <w:rPr>
          <w:rFonts w:asciiTheme="minorEastAsia" w:hAnsiTheme="minorEastAsia" w:eastAsiaTheme="minorEastAsia" w:cstheme="minorEastAsia"/>
          <w:b/>
          <w:sz w:val="24"/>
          <w:szCs w:val="24"/>
        </w:rPr>
      </w:pPr>
    </w:p>
    <w:p>
      <w:pPr>
        <w:pStyle w:val="4"/>
        <w:numPr>
          <w:ilvl w:val="0"/>
          <w:numId w:val="0"/>
        </w:numPr>
        <w:snapToGrid w:val="0"/>
        <w:spacing w:before="120" w:beforeLines="50" w:line="360" w:lineRule="auto"/>
      </w:pPr>
    </w:p>
    <w:p/>
    <w:p>
      <w:pPr>
        <w:pStyle w:val="12"/>
      </w:pPr>
    </w:p>
    <w:p>
      <w:pPr>
        <w:spacing w:before="120" w:beforeLines="50" w:line="360" w:lineRule="auto"/>
        <w:jc w:val="center"/>
        <w:rPr>
          <w:rFonts w:asciiTheme="minorEastAsia" w:hAnsiTheme="minorEastAsia" w:eastAsiaTheme="minorEastAsia" w:cstheme="minorEastAsia"/>
          <w:b/>
          <w:sz w:val="24"/>
        </w:rPr>
      </w:pPr>
      <w:bookmarkStart w:id="67" w:name="_Toc288738836"/>
      <w:bookmarkStart w:id="68" w:name="_Toc288738394"/>
    </w:p>
    <w:p>
      <w:pPr>
        <w:spacing w:before="120" w:beforeLines="50" w:line="360" w:lineRule="auto"/>
        <w:jc w:val="center"/>
        <w:rPr>
          <w:rFonts w:asciiTheme="minorEastAsia" w:hAnsiTheme="minorEastAsia" w:eastAsiaTheme="minorEastAsia" w:cstheme="minorEastAsia"/>
          <w:b/>
          <w:sz w:val="24"/>
        </w:rPr>
      </w:pPr>
    </w:p>
    <w:p>
      <w:pPr>
        <w:spacing w:before="120"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授权委托书</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目竞争性磋商的合法代理人，全权负责参加本次政府采购项目的采购活动、签订合约以及与之相关的各项工作。本供应商对代理人的签名负全部责任。</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本授权书于__________年_______月________日签字生效，特此声明。</w:t>
      </w:r>
    </w:p>
    <w:p>
      <w:pPr>
        <w:pStyle w:val="12"/>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                   身份证号码：</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spacing w:before="120" w:beforeLines="50"/>
        <w:rPr>
          <w:rFonts w:asciiTheme="minorEastAsia" w:hAnsiTheme="minorEastAsia" w:eastAsiaTheme="minorEastAsia" w:cstheme="minorEastAsia"/>
          <w:sz w:val="24"/>
        </w:rPr>
      </w:pP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供应商公章： </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                                 电话：</w:t>
      </w:r>
    </w:p>
    <w:p>
      <w:pPr>
        <w:spacing w:before="120" w:beforeLine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                                 邮编：</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代理人身份证</w:t>
      </w:r>
    </w:p>
    <w:p>
      <w:pPr>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1、法定代表人参加磋商会议时，提供法人资格证明和本人身份证原件。</w:t>
      </w:r>
    </w:p>
    <w:p>
      <w:pPr>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2、委托代理人参加磋商会议时，提供法人资格证明，授权委托书和本人身份证原件。</w:t>
      </w:r>
    </w:p>
    <w:p>
      <w:pPr>
        <w:pStyle w:val="12"/>
        <w:rPr>
          <w:rFonts w:asciiTheme="minorEastAsia" w:hAnsiTheme="minorEastAsia" w:eastAsiaTheme="minorEastAsia" w:cstheme="minorEastAsia"/>
          <w:b/>
          <w:bCs/>
          <w:sz w:val="24"/>
          <w:szCs w:val="24"/>
        </w:rPr>
      </w:pPr>
    </w:p>
    <w:p>
      <w:pPr>
        <w:pStyle w:val="12"/>
        <w:rPr>
          <w:rFonts w:asciiTheme="minorEastAsia" w:hAnsiTheme="minorEastAsia" w:eastAsiaTheme="minorEastAsia" w:cstheme="minorEastAsia"/>
          <w:b/>
          <w:bCs/>
          <w:sz w:val="24"/>
          <w:szCs w:val="24"/>
        </w:rPr>
      </w:pPr>
    </w:p>
    <w:p>
      <w:pPr>
        <w:pStyle w:val="4"/>
        <w:numPr>
          <w:ilvl w:val="0"/>
          <w:numId w:val="0"/>
        </w:numPr>
        <w:snapToGrid w:val="0"/>
        <w:spacing w:before="120" w:beforeLines="50" w:line="360" w:lineRule="auto"/>
        <w:rPr>
          <w:rFonts w:asciiTheme="minorEastAsia" w:hAnsiTheme="minorEastAsia" w:eastAsiaTheme="minorEastAsia" w:cstheme="minorEastAsia"/>
          <w:b/>
          <w:bCs/>
          <w:sz w:val="24"/>
          <w:szCs w:val="24"/>
        </w:rPr>
      </w:pPr>
    </w:p>
    <w:p>
      <w:pPr>
        <w:pStyle w:val="4"/>
        <w:numPr>
          <w:ilvl w:val="0"/>
          <w:numId w:val="0"/>
        </w:numPr>
        <w:snapToGrid w:val="0"/>
        <w:spacing w:before="120" w:beforeLines="50" w:line="360" w:lineRule="auto"/>
        <w:rPr>
          <w:rFonts w:asciiTheme="minorEastAsia" w:hAnsiTheme="minorEastAsia" w:eastAsiaTheme="minorEastAsia" w:cstheme="minorEastAsia"/>
          <w:b/>
          <w:bCs/>
          <w:sz w:val="24"/>
          <w:szCs w:val="24"/>
        </w:rPr>
      </w:pPr>
    </w:p>
    <w:p>
      <w:pPr>
        <w:pStyle w:val="4"/>
        <w:numPr>
          <w:ilvl w:val="0"/>
          <w:numId w:val="0"/>
        </w:numPr>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附件三：</w:t>
      </w:r>
      <w:bookmarkEnd w:id="67"/>
      <w:bookmarkEnd w:id="68"/>
      <w:bookmarkStart w:id="69" w:name="_Toc288738837"/>
      <w:bookmarkStart w:id="70" w:name="_Toc288738395"/>
    </w:p>
    <w:p>
      <w:pPr>
        <w:spacing w:line="360" w:lineRule="auto"/>
        <w:jc w:val="center"/>
        <w:rPr>
          <w:rFonts w:ascii="宋体" w:hAnsi="宋体"/>
          <w:b/>
          <w:bCs/>
          <w:sz w:val="24"/>
        </w:rPr>
      </w:pPr>
      <w:r>
        <w:rPr>
          <w:rFonts w:hint="eastAsia" w:ascii="宋体" w:hAnsi="宋体"/>
          <w:b/>
          <w:bCs/>
          <w:sz w:val="24"/>
        </w:rPr>
        <w:t>开标一览表</w:t>
      </w:r>
    </w:p>
    <w:tbl>
      <w:tblPr>
        <w:tblStyle w:val="13"/>
        <w:tblW w:w="9108" w:type="dxa"/>
        <w:tblInd w:w="39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topLinePunct/>
              <w:spacing w:line="360" w:lineRule="exact"/>
              <w:rPr>
                <w:rFonts w:ascii="宋体" w:hAnsi="宋体"/>
                <w:b/>
                <w:bCs/>
                <w:szCs w:val="21"/>
              </w:rPr>
            </w:pPr>
            <w:r>
              <w:rPr>
                <w:rFonts w:hint="eastAsia" w:ascii="宋体" w:hAnsi="宋体"/>
                <w:b/>
                <w:bCs/>
                <w:szCs w:val="21"/>
              </w:rPr>
              <w:t xml:space="preserve">     项目</w:t>
            </w:r>
          </w:p>
          <w:p>
            <w:pPr>
              <w:topLinePunct/>
              <w:spacing w:line="360" w:lineRule="exact"/>
              <w:rPr>
                <w:rFonts w:ascii="宋体" w:hAnsi="宋体"/>
                <w:b/>
                <w:bCs/>
                <w:szCs w:val="21"/>
              </w:rPr>
            </w:pPr>
          </w:p>
          <w:p>
            <w:pPr>
              <w:topLinePunct/>
              <w:spacing w:line="360" w:lineRule="exact"/>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b/>
                <w:bCs/>
                <w:szCs w:val="21"/>
              </w:rPr>
            </w:pPr>
            <w:r>
              <w:rPr>
                <w:rFonts w:hint="eastAsia" w:ascii="宋体" w:hAnsi="宋体"/>
                <w:b/>
                <w:bCs/>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topLinePunct/>
              <w:spacing w:line="360" w:lineRule="exact"/>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topLinePunct/>
              <w:spacing w:line="360" w:lineRule="exact"/>
              <w:rPr>
                <w:rFonts w:ascii="宋体" w:hAnsi="宋体"/>
                <w:szCs w:val="21"/>
              </w:rPr>
            </w:pPr>
          </w:p>
          <w:p>
            <w:pPr>
              <w:topLinePunct/>
              <w:spacing w:line="360" w:lineRule="exact"/>
              <w:rPr>
                <w:rFonts w:ascii="宋体" w:hAnsi="宋体"/>
                <w:szCs w:val="21"/>
              </w:rPr>
            </w:pPr>
          </w:p>
        </w:tc>
        <w:tc>
          <w:tcPr>
            <w:tcW w:w="900" w:type="dxa"/>
            <w:tcBorders>
              <w:top w:val="single" w:color="000000" w:sz="12"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工  期</w:t>
            </w:r>
          </w:p>
          <w:p>
            <w:pPr>
              <w:topLinePunct/>
              <w:spacing w:line="360" w:lineRule="exact"/>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投 标 报 价</w:t>
            </w:r>
          </w:p>
          <w:p>
            <w:pPr>
              <w:topLinePunct/>
              <w:spacing w:line="360" w:lineRule="exact"/>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topLinePunct/>
              <w:spacing w:line="360" w:lineRule="exact"/>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topLinePunct/>
              <w:spacing w:line="360" w:lineRule="exact"/>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topLinePunct/>
              <w:spacing w:line="360" w:lineRule="exact"/>
              <w:rPr>
                <w:rFonts w:ascii="宋体" w:hAnsi="宋体"/>
                <w:szCs w:val="21"/>
              </w:rPr>
            </w:pPr>
            <w:r>
              <w:rPr>
                <w:rFonts w:hint="eastAsia" w:ascii="宋体" w:hAnsi="宋体" w:cs="宋体"/>
                <w:bCs/>
                <w:sz w:val="20"/>
                <w:szCs w:val="20"/>
              </w:rPr>
              <w:t>工程按</w:t>
            </w:r>
            <w:r>
              <w:rPr>
                <w:rFonts w:hint="eastAsia" w:ascii="宋体" w:hAnsi="宋体"/>
                <w:bCs/>
                <w:sz w:val="20"/>
                <w:szCs w:val="20"/>
              </w:rPr>
              <w:t>《江苏省建设工程费用定额》（2014版）、《江苏省建筑与装饰工程计价定额》（2014版）、《江苏省安装工程计价定额》（2014版）、</w:t>
            </w:r>
            <w:r>
              <w:rPr>
                <w:rFonts w:hint="eastAsia" w:ascii="宋体" w:hAnsi="宋体" w:cs="宋体"/>
                <w:bCs/>
                <w:sz w:val="20"/>
                <w:szCs w:val="20"/>
              </w:rPr>
              <w:t>《江苏省市政工程计价定额》(2014)、</w:t>
            </w:r>
            <w:r>
              <w:rPr>
                <w:rFonts w:hint="eastAsia" w:ascii="宋体" w:hAnsi="宋体"/>
                <w:bCs/>
                <w:sz w:val="20"/>
                <w:szCs w:val="20"/>
              </w:rPr>
              <w:t>《关于贯彻《建设工程工程量清单计价规范》（GB50500-2013）等国家标准和省2014年建筑与装饰、安装、市政等专业工程计价定额及费用定额的通知》（常建（2014）279号文）等相关文件</w:t>
            </w:r>
            <w:r>
              <w:rPr>
                <w:rFonts w:hint="eastAsia" w:ascii="宋体" w:hAnsi="宋体" w:cs="宋体"/>
                <w:bCs/>
                <w:sz w:val="20"/>
                <w:szCs w:val="20"/>
              </w:rPr>
              <w:t>结算的最高限价为88%（结算下浮率＞12%），投标费率高于该招标控制费率的作为无效投标处理；</w:t>
            </w:r>
            <w:r>
              <w:rPr>
                <w:rFonts w:hint="eastAsia" w:ascii="宋体" w:hAnsi="宋体"/>
                <w:bCs/>
                <w:color w:val="000000"/>
                <w:sz w:val="20"/>
                <w:szCs w:val="20"/>
              </w:rPr>
              <w:t>材料价参照施工期间信息价进行编制，如无信息价则由施工单位、建设单位、审计单位、监理单位四方市场询价，协商后计入结算文件（询价材料不计下浮）。</w:t>
            </w:r>
          </w:p>
        </w:tc>
        <w:tc>
          <w:tcPr>
            <w:tcW w:w="900" w:type="dxa"/>
            <w:tcBorders>
              <w:top w:val="single" w:color="000000" w:sz="6" w:space="0"/>
              <w:left w:val="single" w:color="000000" w:sz="6" w:space="0"/>
              <w:bottom w:val="single" w:color="000000" w:sz="12" w:space="0"/>
              <w:right w:val="single" w:color="000000" w:sz="12" w:space="0"/>
            </w:tcBorders>
          </w:tcPr>
          <w:p>
            <w:pPr>
              <w:topLinePunct/>
              <w:spacing w:line="360" w:lineRule="exact"/>
              <w:jc w:val="center"/>
              <w:rPr>
                <w:rFonts w:ascii="宋体" w:hAnsi="宋体"/>
                <w:szCs w:val="21"/>
              </w:rPr>
            </w:pPr>
          </w:p>
        </w:tc>
      </w:tr>
    </w:tbl>
    <w:p>
      <w:pPr>
        <w:spacing w:line="360" w:lineRule="auto"/>
        <w:rPr>
          <w:rFonts w:ascii="宋体" w:hAnsi="宋体"/>
          <w:b/>
          <w:sz w:val="24"/>
        </w:rPr>
      </w:pPr>
    </w:p>
    <w:p>
      <w:pPr>
        <w:spacing w:line="360" w:lineRule="auto"/>
        <w:rPr>
          <w:rFonts w:ascii="宋体" w:hAnsi="宋体" w:cs="宋体"/>
          <w:color w:val="000000"/>
          <w:sz w:val="24"/>
        </w:rPr>
      </w:pPr>
      <w:r>
        <w:rPr>
          <w:rFonts w:hint="eastAsia" w:ascii="宋体" w:hAnsi="宋体" w:cs="宋体"/>
          <w:color w:val="000000"/>
          <w:sz w:val="24"/>
        </w:rPr>
        <w:t>供应商</w:t>
      </w:r>
      <w:r>
        <w:rPr>
          <w:rFonts w:hint="eastAsia" w:ascii="宋体" w:hAnsi="宋体"/>
          <w:sz w:val="24"/>
        </w:rPr>
        <w:t>名称（公章）：</w:t>
      </w:r>
    </w:p>
    <w:p>
      <w:pPr>
        <w:spacing w:line="360" w:lineRule="auto"/>
        <w:rPr>
          <w:rFonts w:ascii="宋体" w:hAnsi="宋体" w:cs="宋体"/>
          <w:color w:val="000000"/>
          <w:sz w:val="24"/>
        </w:rPr>
      </w:pPr>
      <w:r>
        <w:rPr>
          <w:rFonts w:hint="eastAsia" w:ascii="宋体" w:hAnsi="宋体" w:cs="宋体"/>
          <w:color w:val="000000"/>
          <w:sz w:val="24"/>
        </w:rPr>
        <w:t>法定代表人或代理人（签字或盖章）：</w:t>
      </w:r>
    </w:p>
    <w:p>
      <w:pPr>
        <w:spacing w:line="360" w:lineRule="auto"/>
        <w:rPr>
          <w:rFonts w:ascii="宋体" w:hAnsi="宋体" w:cs="宋体"/>
          <w:color w:val="000000"/>
          <w:sz w:val="24"/>
        </w:rPr>
      </w:pPr>
      <w:r>
        <w:rPr>
          <w:rFonts w:hint="eastAsia" w:ascii="宋体" w:hAnsi="宋体" w:cs="宋体"/>
          <w:color w:val="000000"/>
          <w:sz w:val="24"/>
        </w:rPr>
        <w:t>日期：      年  月   日</w:t>
      </w:r>
    </w:p>
    <w:p>
      <w:pPr>
        <w:spacing w:line="360" w:lineRule="auto"/>
        <w:rPr>
          <w:rFonts w:ascii="宋体" w:hAnsi="宋体" w:cs="宋体"/>
          <w:color w:val="000000"/>
          <w:sz w:val="24"/>
        </w:rPr>
      </w:pPr>
    </w:p>
    <w:p>
      <w:pPr>
        <w:spacing w:line="360" w:lineRule="auto"/>
        <w:ind w:firstLine="480" w:firstLineChars="200"/>
        <w:rPr>
          <w:rFonts w:ascii="宋体" w:hAnsi="宋体"/>
          <w:b/>
          <w:sz w:val="24"/>
        </w:rPr>
        <w:sectPr>
          <w:headerReference r:id="rId12" w:type="first"/>
          <w:footerReference r:id="rId13" w:type="first"/>
          <w:headerReference r:id="rId11" w:type="default"/>
          <w:pgSz w:w="11906" w:h="16838"/>
          <w:pgMar w:top="1440" w:right="1418" w:bottom="1440" w:left="1559" w:header="851" w:footer="992" w:gutter="0"/>
          <w:cols w:space="720" w:num="1"/>
          <w:titlePg/>
          <w:docGrid w:linePitch="312" w:charSpace="0"/>
        </w:sectPr>
      </w:pPr>
      <w:r>
        <w:rPr>
          <w:rFonts w:hint="eastAsia" w:ascii="宋体" w:hAnsi="宋体" w:cs="宋体"/>
          <w:color w:val="000000"/>
          <w:sz w:val="24"/>
        </w:rPr>
        <w:t>注：1、如供应商的最终报价明显低于成本价,涉嫌恶意竞争,扰乱市场秩序的，供应商将自行承担由此而产生的任何法律责任。采购代理机构对此不承担任何责任。</w:t>
      </w:r>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附件四：</w:t>
      </w:r>
      <w:bookmarkEnd w:id="69"/>
      <w:bookmarkEnd w:id="70"/>
      <w:bookmarkStart w:id="71" w:name="_Toc288738396"/>
      <w:bookmarkStart w:id="72" w:name="_Toc288738838"/>
    </w:p>
    <w:p>
      <w:pPr>
        <w:spacing w:before="156"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分项报价表</w:t>
      </w:r>
    </w:p>
    <w:p>
      <w:pPr>
        <w:snapToGrid w:val="0"/>
        <w:spacing w:before="156" w:beforeLines="50" w:line="360" w:lineRule="auto"/>
        <w:jc w:val="center"/>
        <w:rPr>
          <w:rFonts w:asciiTheme="minorEastAsia" w:hAnsiTheme="minorEastAsia" w:eastAsiaTheme="minorEastAsia" w:cstheme="minorEastAsia"/>
          <w:sz w:val="24"/>
        </w:rPr>
      </w:pPr>
    </w:p>
    <w:p>
      <w:pPr>
        <w:snapToGrid w:val="0"/>
        <w:spacing w:before="156" w:beforeLines="50" w:line="360" w:lineRule="auto"/>
        <w:rPr>
          <w:rFonts w:ascii="宋体" w:hAnsi="宋体" w:cs="宋体"/>
          <w:szCs w:val="21"/>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13"/>
        <w:tblW w:w="7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46"/>
        <w:gridCol w:w="751"/>
        <w:gridCol w:w="1192"/>
        <w:gridCol w:w="1225"/>
        <w:gridCol w:w="919"/>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jc w:val="center"/>
              <w:textAlignment w:val="center"/>
              <w:rPr>
                <w:rFonts w:ascii="宋体" w:hAnsi="宋体" w:cs="Arial"/>
                <w:kern w:val="0"/>
                <w:szCs w:val="21"/>
              </w:rPr>
            </w:pPr>
            <w:r>
              <w:rPr>
                <w:rFonts w:hint="eastAsia" w:ascii="宋体" w:hAnsi="宋体" w:cs="宋体"/>
                <w:b/>
                <w:bCs/>
                <w:color w:val="000000"/>
                <w:kern w:val="0"/>
                <w:sz w:val="18"/>
                <w:szCs w:val="18"/>
                <w:lang w:bidi="ar"/>
              </w:rPr>
              <w:t>序号</w:t>
            </w:r>
          </w:p>
        </w:tc>
        <w:tc>
          <w:tcPr>
            <w:tcW w:w="1146" w:type="dxa"/>
            <w:vMerge w:val="restart"/>
            <w:vAlign w:val="center"/>
          </w:tcPr>
          <w:p>
            <w:pPr>
              <w:widowControl/>
              <w:jc w:val="center"/>
              <w:textAlignment w:val="center"/>
              <w:rPr>
                <w:rFonts w:ascii="宋体" w:hAnsi="宋体" w:cs="Arial"/>
                <w:kern w:val="0"/>
                <w:szCs w:val="21"/>
              </w:rPr>
            </w:pPr>
            <w:r>
              <w:rPr>
                <w:rFonts w:hint="eastAsia" w:ascii="宋体" w:hAnsi="宋体" w:cs="宋体"/>
                <w:b/>
                <w:bCs/>
                <w:color w:val="000000"/>
                <w:kern w:val="0"/>
                <w:sz w:val="18"/>
                <w:szCs w:val="18"/>
                <w:lang w:bidi="ar"/>
              </w:rPr>
              <w:t>项目名称</w:t>
            </w:r>
          </w:p>
        </w:tc>
        <w:tc>
          <w:tcPr>
            <w:tcW w:w="751" w:type="dxa"/>
            <w:vMerge w:val="restart"/>
            <w:vAlign w:val="center"/>
          </w:tcPr>
          <w:p>
            <w:pPr>
              <w:widowControl/>
              <w:jc w:val="center"/>
              <w:textAlignment w:val="center"/>
              <w:rPr>
                <w:rFonts w:ascii="宋体" w:hAnsi="宋体" w:cs="Arial"/>
                <w:kern w:val="0"/>
                <w:szCs w:val="21"/>
              </w:rPr>
            </w:pPr>
            <w:r>
              <w:rPr>
                <w:rFonts w:hint="eastAsia" w:ascii="宋体" w:hAnsi="宋体" w:cs="宋体"/>
                <w:b/>
                <w:bCs/>
                <w:color w:val="000000"/>
                <w:kern w:val="0"/>
                <w:sz w:val="18"/>
                <w:szCs w:val="18"/>
                <w:lang w:bidi="ar"/>
              </w:rPr>
              <w:t>计量单位</w:t>
            </w:r>
          </w:p>
        </w:tc>
        <w:tc>
          <w:tcPr>
            <w:tcW w:w="1192" w:type="dxa"/>
            <w:vMerge w:val="restart"/>
            <w:tcBorders>
              <w:right w:val="single" w:color="auto" w:sz="4" w:space="0"/>
            </w:tcBorders>
            <w:vAlign w:val="center"/>
          </w:tcPr>
          <w:p>
            <w:pPr>
              <w:widowControl/>
              <w:jc w:val="center"/>
              <w:textAlignment w:val="center"/>
              <w:rPr>
                <w:rFonts w:ascii="宋体" w:hAnsi="宋体" w:cs="Arial"/>
                <w:kern w:val="0"/>
                <w:szCs w:val="21"/>
              </w:rPr>
            </w:pPr>
            <w:r>
              <w:rPr>
                <w:rFonts w:hint="eastAsia" w:ascii="宋体" w:hAnsi="宋体" w:cs="宋体"/>
                <w:b/>
                <w:bCs/>
                <w:color w:val="000000"/>
                <w:kern w:val="0"/>
                <w:sz w:val="18"/>
                <w:szCs w:val="18"/>
                <w:lang w:bidi="ar"/>
              </w:rPr>
              <w:t>工程数量</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kern w:val="0"/>
                <w:szCs w:val="21"/>
              </w:rPr>
            </w:pPr>
            <w:r>
              <w:rPr>
                <w:rFonts w:hint="eastAsia" w:ascii="宋体" w:hAnsi="宋体" w:cs="宋体"/>
                <w:b/>
                <w:bCs/>
                <w:color w:val="000000"/>
                <w:kern w:val="0"/>
                <w:sz w:val="18"/>
                <w:szCs w:val="18"/>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1146" w:type="dxa"/>
            <w:vMerge w:val="continue"/>
            <w:vAlign w:val="center"/>
          </w:tcPr>
          <w:p>
            <w:pPr>
              <w:widowControl/>
              <w:snapToGrid w:val="0"/>
              <w:spacing w:line="360" w:lineRule="auto"/>
              <w:jc w:val="center"/>
              <w:rPr>
                <w:rFonts w:ascii="宋体" w:hAnsi="宋体" w:cs="Arial"/>
                <w:kern w:val="0"/>
                <w:szCs w:val="21"/>
              </w:rPr>
            </w:pPr>
          </w:p>
        </w:tc>
        <w:tc>
          <w:tcPr>
            <w:tcW w:w="751" w:type="dxa"/>
            <w:vMerge w:val="continue"/>
            <w:vAlign w:val="center"/>
          </w:tcPr>
          <w:p>
            <w:pPr>
              <w:widowControl/>
              <w:snapToGrid w:val="0"/>
              <w:spacing w:line="360" w:lineRule="auto"/>
              <w:jc w:val="center"/>
              <w:rPr>
                <w:rFonts w:ascii="宋体" w:hAnsi="宋体" w:cs="Arial"/>
                <w:kern w:val="0"/>
                <w:szCs w:val="21"/>
              </w:rPr>
            </w:pPr>
          </w:p>
        </w:tc>
        <w:tc>
          <w:tcPr>
            <w:tcW w:w="1192" w:type="dxa"/>
            <w:vMerge w:val="continue"/>
            <w:vAlign w:val="center"/>
          </w:tcPr>
          <w:p>
            <w:pPr>
              <w:widowControl/>
              <w:snapToGrid w:val="0"/>
              <w:spacing w:line="360" w:lineRule="auto"/>
              <w:jc w:val="center"/>
              <w:rPr>
                <w:rFonts w:ascii="宋体" w:hAnsi="宋体" w:cs="Arial"/>
                <w:kern w:val="0"/>
                <w:szCs w:val="21"/>
              </w:rPr>
            </w:pPr>
          </w:p>
        </w:tc>
        <w:tc>
          <w:tcPr>
            <w:tcW w:w="1225" w:type="dxa"/>
            <w:tcBorders>
              <w:top w:val="single" w:color="auto"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综合单价</w:t>
            </w:r>
          </w:p>
        </w:tc>
        <w:tc>
          <w:tcPr>
            <w:tcW w:w="919" w:type="dxa"/>
            <w:tcBorders>
              <w:top w:val="single" w:color="auto" w:sz="4" w:space="0"/>
            </w:tcBorders>
            <w:vAlign w:val="center"/>
          </w:tcPr>
          <w:p>
            <w:pPr>
              <w:widowControl/>
              <w:snapToGrid w:val="0"/>
              <w:spacing w:line="360" w:lineRule="auto"/>
              <w:jc w:val="center"/>
              <w:rPr>
                <w:rFonts w:ascii="宋体" w:hAnsi="宋体" w:cs="Arial"/>
                <w:b/>
                <w:bCs/>
                <w:kern w:val="0"/>
                <w:szCs w:val="21"/>
              </w:rPr>
            </w:pPr>
            <w:r>
              <w:rPr>
                <w:rFonts w:hint="eastAsia" w:ascii="宋体" w:hAnsi="宋体" w:cs="Arial"/>
                <w:b/>
                <w:bCs/>
                <w:kern w:val="0"/>
                <w:szCs w:val="21"/>
              </w:rPr>
              <w:t>合价</w:t>
            </w:r>
          </w:p>
        </w:tc>
        <w:tc>
          <w:tcPr>
            <w:tcW w:w="1561" w:type="dxa"/>
            <w:tcBorders>
              <w:top w:val="single" w:color="auto" w:sz="4" w:space="0"/>
            </w:tcBorders>
            <w:vAlign w:val="center"/>
          </w:tcPr>
          <w:p>
            <w:pPr>
              <w:widowControl/>
              <w:snapToGrid w:val="0"/>
              <w:spacing w:line="360" w:lineRule="auto"/>
              <w:jc w:val="center"/>
              <w:rPr>
                <w:rFonts w:ascii="宋体" w:hAnsi="宋体" w:cs="Arial"/>
                <w:b/>
                <w:bCs/>
                <w:kern w:val="0"/>
                <w:szCs w:val="21"/>
              </w:rPr>
            </w:pPr>
            <w:r>
              <w:rPr>
                <w:rFonts w:hint="eastAsia" w:ascii="宋体" w:hAnsi="宋体" w:cs="Arial"/>
                <w:b/>
                <w:bCs/>
                <w:kern w:val="0"/>
                <w:szCs w:val="21"/>
              </w:rPr>
              <w:t>其中:暂估价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4</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5</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1146" w:type="dxa"/>
            <w:vAlign w:val="center"/>
          </w:tcPr>
          <w:p>
            <w:pPr>
              <w:widowControl/>
              <w:snapToGrid w:val="0"/>
              <w:spacing w:line="360" w:lineRule="auto"/>
              <w:jc w:val="center"/>
              <w:rPr>
                <w:rFonts w:ascii="宋体" w:hAnsi="宋体" w:cs="Arial"/>
                <w:kern w:val="0"/>
                <w:szCs w:val="21"/>
              </w:rPr>
            </w:pPr>
          </w:p>
        </w:tc>
        <w:tc>
          <w:tcPr>
            <w:tcW w:w="751" w:type="dxa"/>
            <w:vAlign w:val="center"/>
          </w:tcPr>
          <w:p>
            <w:pPr>
              <w:widowControl/>
              <w:snapToGrid w:val="0"/>
              <w:spacing w:line="360" w:lineRule="auto"/>
              <w:jc w:val="center"/>
              <w:rPr>
                <w:rFonts w:ascii="宋体" w:hAnsi="宋体" w:cs="Arial"/>
                <w:kern w:val="0"/>
                <w:szCs w:val="21"/>
              </w:rPr>
            </w:pPr>
          </w:p>
        </w:tc>
        <w:tc>
          <w:tcPr>
            <w:tcW w:w="1192" w:type="dxa"/>
            <w:vAlign w:val="center"/>
          </w:tcPr>
          <w:p>
            <w:pPr>
              <w:widowControl/>
              <w:snapToGrid w:val="0"/>
              <w:spacing w:line="360" w:lineRule="auto"/>
              <w:jc w:val="center"/>
              <w:rPr>
                <w:rFonts w:ascii="宋体" w:hAnsi="宋体" w:cs="Arial"/>
                <w:kern w:val="0"/>
                <w:szCs w:val="21"/>
              </w:rPr>
            </w:pPr>
          </w:p>
        </w:tc>
        <w:tc>
          <w:tcPr>
            <w:tcW w:w="1225"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561"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p>
    <w:p>
      <w:pPr>
        <w:widowControl/>
        <w:snapToGrid w:val="0"/>
        <w:spacing w:line="360" w:lineRule="auto"/>
        <w:rPr>
          <w:rFonts w:ascii="宋体" w:hAnsi="宋体" w:cs="Arial"/>
          <w:kern w:val="0"/>
          <w:szCs w:val="21"/>
        </w:rPr>
      </w:pPr>
    </w:p>
    <w:p>
      <w:pPr>
        <w:widowControl/>
        <w:snapToGrid w:val="0"/>
        <w:spacing w:before="156" w:beforeLines="50" w:line="360" w:lineRule="auto"/>
        <w:rPr>
          <w:rFonts w:asciiTheme="minorEastAsia" w:hAnsiTheme="minorEastAsia" w:eastAsiaTheme="minorEastAsia" w:cstheme="minorEastAsia"/>
          <w:kern w:val="0"/>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格式自拟，详见工程量清单</w:t>
      </w: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pStyle w:val="6"/>
        <w:spacing w:before="156" w:beforeLines="50" w:line="360" w:lineRule="auto"/>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法定代表人或代理人（签字或盖章）：</w:t>
      </w:r>
    </w:p>
    <w:p>
      <w:pPr>
        <w:pStyle w:val="16"/>
        <w:snapToGrid w:val="0"/>
        <w:spacing w:before="156" w:beforeLines="50" w:line="360" w:lineRule="auto"/>
        <w:ind w:firstLine="480"/>
        <w:rPr>
          <w:rFonts w:asciiTheme="minorEastAsia" w:hAnsiTheme="minorEastAsia" w:eastAsiaTheme="minorEastAsia" w:cstheme="minorEastAsia"/>
          <w:szCs w:val="24"/>
        </w:rPr>
      </w:pPr>
    </w:p>
    <w:p>
      <w:pPr>
        <w:pStyle w:val="16"/>
        <w:snapToGrid w:val="0"/>
        <w:spacing w:before="156" w:beforeLines="50" w:line="360" w:lineRule="auto"/>
        <w:ind w:firstLine="480"/>
        <w:rPr>
          <w:rFonts w:asciiTheme="minorEastAsia" w:hAnsiTheme="minorEastAsia" w:eastAsiaTheme="minorEastAsia" w:cstheme="minorEastAsia"/>
          <w:szCs w:val="24"/>
        </w:rPr>
      </w:pPr>
    </w:p>
    <w:p>
      <w:pPr>
        <w:pStyle w:val="16"/>
        <w:snapToGrid w:val="0"/>
        <w:spacing w:before="156" w:beforeLines="50" w:line="360" w:lineRule="auto"/>
        <w:ind w:firstLine="480"/>
        <w:rPr>
          <w:rFonts w:asciiTheme="minorEastAsia" w:hAnsiTheme="minorEastAsia" w:eastAsiaTheme="minorEastAsia" w:cstheme="minorEastAsia"/>
          <w:szCs w:val="24"/>
        </w:rPr>
      </w:pPr>
    </w:p>
    <w:p>
      <w:pPr>
        <w:pStyle w:val="16"/>
        <w:snapToGrid w:val="0"/>
        <w:spacing w:before="156" w:beforeLines="50" w:line="360" w:lineRule="auto"/>
        <w:ind w:firstLine="480"/>
        <w:rPr>
          <w:rFonts w:asciiTheme="minorEastAsia" w:hAnsiTheme="minorEastAsia" w:eastAsiaTheme="minorEastAsia" w:cstheme="minorEastAsia"/>
          <w:szCs w:val="24"/>
        </w:rPr>
      </w:pPr>
    </w:p>
    <w:bookmarkEnd w:id="71"/>
    <w:bookmarkEnd w:id="72"/>
    <w:p>
      <w:pPr>
        <w:pStyle w:val="6"/>
        <w:spacing w:before="156" w:beforeLines="50" w:line="360" w:lineRule="auto"/>
        <w:ind w:firstLine="482"/>
        <w:rPr>
          <w:rFonts w:asciiTheme="minorEastAsia" w:hAnsiTheme="minorEastAsia" w:eastAsiaTheme="minorEastAsia" w:cstheme="minorEastAsia"/>
          <w:b/>
          <w:bCs/>
          <w:szCs w:val="24"/>
        </w:rPr>
      </w:pPr>
      <w:bookmarkStart w:id="73" w:name="_Toc288738397"/>
      <w:bookmarkStart w:id="74" w:name="_Toc288738839"/>
    </w:p>
    <w:p>
      <w:pPr>
        <w:pStyle w:val="6"/>
        <w:spacing w:before="156" w:beforeLines="50" w:line="360" w:lineRule="auto"/>
        <w:ind w:firstLine="482"/>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附件五：</w:t>
      </w:r>
    </w:p>
    <w:p>
      <w:pPr>
        <w:pStyle w:val="7"/>
        <w:adjustRightInd w:val="0"/>
        <w:snapToGrid w:val="0"/>
        <w:spacing w:line="300" w:lineRule="auto"/>
        <w:jc w:val="center"/>
        <w:rPr>
          <w:rFonts w:hAnsi="宋体"/>
          <w:b/>
          <w:bCs/>
          <w:sz w:val="24"/>
          <w:szCs w:val="24"/>
        </w:rPr>
      </w:pPr>
      <w:r>
        <w:rPr>
          <w:rFonts w:hint="eastAsia" w:hAnsi="宋体"/>
          <w:b/>
          <w:bCs/>
          <w:sz w:val="24"/>
          <w:szCs w:val="24"/>
        </w:rPr>
        <w:t>项目负责人简历表</w:t>
      </w:r>
    </w:p>
    <w:tbl>
      <w:tblPr>
        <w:tblStyle w:val="13"/>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635"/>
        <w:gridCol w:w="381"/>
        <w:gridCol w:w="562"/>
        <w:gridCol w:w="572"/>
        <w:gridCol w:w="851"/>
        <w:gridCol w:w="56"/>
        <w:gridCol w:w="1323"/>
        <w:gridCol w:w="605"/>
        <w:gridCol w:w="993"/>
        <w:gridCol w:w="33"/>
        <w:gridCol w:w="110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10" w:type="dxa"/>
            <w:vAlign w:val="center"/>
          </w:tcPr>
          <w:p>
            <w:pPr>
              <w:pStyle w:val="7"/>
              <w:adjustRightInd w:val="0"/>
              <w:snapToGrid w:val="0"/>
              <w:spacing w:line="300" w:lineRule="auto"/>
              <w:jc w:val="center"/>
              <w:rPr>
                <w:rFonts w:hAnsi="宋体"/>
                <w:sz w:val="24"/>
                <w:szCs w:val="24"/>
              </w:rPr>
            </w:pPr>
            <w:r>
              <w:rPr>
                <w:rFonts w:hint="eastAsia" w:hAnsi="宋体"/>
                <w:sz w:val="24"/>
                <w:szCs w:val="24"/>
              </w:rPr>
              <w:t>姓名</w:t>
            </w:r>
          </w:p>
        </w:tc>
        <w:tc>
          <w:tcPr>
            <w:tcW w:w="1578" w:type="dxa"/>
            <w:gridSpan w:val="3"/>
            <w:vAlign w:val="center"/>
          </w:tcPr>
          <w:p>
            <w:pPr>
              <w:pStyle w:val="7"/>
              <w:adjustRightInd w:val="0"/>
              <w:snapToGrid w:val="0"/>
              <w:spacing w:line="300" w:lineRule="auto"/>
              <w:jc w:val="center"/>
              <w:rPr>
                <w:rFonts w:hAnsi="宋体"/>
                <w:sz w:val="24"/>
                <w:szCs w:val="24"/>
              </w:rPr>
            </w:pPr>
          </w:p>
        </w:tc>
        <w:tc>
          <w:tcPr>
            <w:tcW w:w="1479"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性别</w:t>
            </w:r>
          </w:p>
        </w:tc>
        <w:tc>
          <w:tcPr>
            <w:tcW w:w="1323" w:type="dxa"/>
            <w:vAlign w:val="center"/>
          </w:tcPr>
          <w:p>
            <w:pPr>
              <w:pStyle w:val="7"/>
              <w:adjustRightInd w:val="0"/>
              <w:snapToGrid w:val="0"/>
              <w:spacing w:line="300" w:lineRule="auto"/>
              <w:jc w:val="center"/>
              <w:rPr>
                <w:rFonts w:hAnsi="宋体"/>
                <w:sz w:val="24"/>
                <w:szCs w:val="24"/>
              </w:rPr>
            </w:pPr>
          </w:p>
        </w:tc>
        <w:tc>
          <w:tcPr>
            <w:tcW w:w="1631"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年龄</w:t>
            </w:r>
          </w:p>
        </w:tc>
        <w:tc>
          <w:tcPr>
            <w:tcW w:w="2240" w:type="dxa"/>
            <w:gridSpan w:val="2"/>
            <w:vAlign w:val="center"/>
          </w:tcPr>
          <w:p>
            <w:pPr>
              <w:pStyle w:val="7"/>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110" w:type="dxa"/>
            <w:vAlign w:val="center"/>
          </w:tcPr>
          <w:p>
            <w:pPr>
              <w:pStyle w:val="7"/>
              <w:adjustRightInd w:val="0"/>
              <w:snapToGrid w:val="0"/>
              <w:spacing w:line="300" w:lineRule="auto"/>
              <w:jc w:val="center"/>
              <w:rPr>
                <w:rFonts w:hAnsi="宋体"/>
                <w:sz w:val="24"/>
                <w:szCs w:val="24"/>
              </w:rPr>
            </w:pPr>
            <w:r>
              <w:rPr>
                <w:rFonts w:hint="eastAsia" w:hAnsi="宋体"/>
                <w:sz w:val="24"/>
                <w:szCs w:val="24"/>
              </w:rPr>
              <w:t>职务</w:t>
            </w:r>
          </w:p>
        </w:tc>
        <w:tc>
          <w:tcPr>
            <w:tcW w:w="1578" w:type="dxa"/>
            <w:gridSpan w:val="3"/>
            <w:vAlign w:val="center"/>
          </w:tcPr>
          <w:p>
            <w:pPr>
              <w:pStyle w:val="7"/>
              <w:adjustRightInd w:val="0"/>
              <w:snapToGrid w:val="0"/>
              <w:spacing w:line="300" w:lineRule="auto"/>
              <w:jc w:val="center"/>
              <w:rPr>
                <w:rFonts w:hAnsi="宋体"/>
                <w:sz w:val="24"/>
                <w:szCs w:val="24"/>
              </w:rPr>
            </w:pPr>
          </w:p>
        </w:tc>
        <w:tc>
          <w:tcPr>
            <w:tcW w:w="1479"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职称</w:t>
            </w:r>
          </w:p>
        </w:tc>
        <w:tc>
          <w:tcPr>
            <w:tcW w:w="1323" w:type="dxa"/>
            <w:vAlign w:val="center"/>
          </w:tcPr>
          <w:p>
            <w:pPr>
              <w:pStyle w:val="7"/>
              <w:adjustRightInd w:val="0"/>
              <w:snapToGrid w:val="0"/>
              <w:spacing w:line="300" w:lineRule="auto"/>
              <w:jc w:val="center"/>
              <w:rPr>
                <w:rFonts w:hAnsi="宋体"/>
                <w:sz w:val="24"/>
                <w:szCs w:val="24"/>
              </w:rPr>
            </w:pPr>
          </w:p>
        </w:tc>
        <w:tc>
          <w:tcPr>
            <w:tcW w:w="1631"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学历</w:t>
            </w:r>
          </w:p>
        </w:tc>
        <w:tc>
          <w:tcPr>
            <w:tcW w:w="2240" w:type="dxa"/>
            <w:gridSpan w:val="2"/>
            <w:vAlign w:val="center"/>
          </w:tcPr>
          <w:p>
            <w:pPr>
              <w:pStyle w:val="7"/>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745" w:type="dxa"/>
            <w:gridSpan w:val="2"/>
            <w:vAlign w:val="center"/>
          </w:tcPr>
          <w:p>
            <w:pPr>
              <w:pStyle w:val="7"/>
              <w:adjustRightInd w:val="0"/>
              <w:snapToGrid w:val="0"/>
              <w:spacing w:line="300" w:lineRule="auto"/>
              <w:jc w:val="center"/>
              <w:rPr>
                <w:rFonts w:hAnsi="宋体"/>
                <w:sz w:val="24"/>
                <w:szCs w:val="24"/>
              </w:rPr>
            </w:pPr>
            <w:r>
              <w:rPr>
                <w:rFonts w:hint="eastAsia" w:hAnsi="宋体"/>
                <w:sz w:val="24"/>
                <w:szCs w:val="24"/>
              </w:rPr>
              <w:t>参加工作时间</w:t>
            </w:r>
          </w:p>
        </w:tc>
        <w:tc>
          <w:tcPr>
            <w:tcW w:w="2366" w:type="dxa"/>
            <w:gridSpan w:val="4"/>
            <w:vAlign w:val="center"/>
          </w:tcPr>
          <w:p>
            <w:pPr>
              <w:pStyle w:val="7"/>
              <w:adjustRightInd w:val="0"/>
              <w:snapToGrid w:val="0"/>
              <w:spacing w:line="300" w:lineRule="auto"/>
              <w:jc w:val="center"/>
              <w:rPr>
                <w:rFonts w:hAnsi="宋体"/>
                <w:sz w:val="24"/>
                <w:szCs w:val="24"/>
              </w:rPr>
            </w:pPr>
            <w:r>
              <w:rPr>
                <w:rFonts w:hint="eastAsia" w:hAnsi="宋体"/>
                <w:sz w:val="24"/>
                <w:szCs w:val="24"/>
              </w:rPr>
              <w:t xml:space="preserve">             </w:t>
            </w:r>
          </w:p>
        </w:tc>
        <w:tc>
          <w:tcPr>
            <w:tcW w:w="2977" w:type="dxa"/>
            <w:gridSpan w:val="4"/>
            <w:vAlign w:val="center"/>
          </w:tcPr>
          <w:p>
            <w:pPr>
              <w:pStyle w:val="7"/>
              <w:adjustRightInd w:val="0"/>
              <w:snapToGrid w:val="0"/>
              <w:spacing w:line="300" w:lineRule="auto"/>
              <w:jc w:val="center"/>
              <w:rPr>
                <w:rFonts w:hAnsi="宋体"/>
                <w:sz w:val="24"/>
                <w:szCs w:val="24"/>
              </w:rPr>
            </w:pPr>
            <w:r>
              <w:rPr>
                <w:rFonts w:hint="eastAsia" w:hAnsi="宋体"/>
                <w:sz w:val="24"/>
                <w:szCs w:val="24"/>
              </w:rPr>
              <w:t>从事项目负责人年限</w:t>
            </w:r>
          </w:p>
        </w:tc>
        <w:tc>
          <w:tcPr>
            <w:tcW w:w="2273" w:type="dxa"/>
            <w:gridSpan w:val="3"/>
            <w:vAlign w:val="center"/>
          </w:tcPr>
          <w:p>
            <w:pPr>
              <w:pStyle w:val="7"/>
              <w:adjustRightInd w:val="0"/>
              <w:snapToGrid w:val="0"/>
              <w:spacing w:line="300" w:lineRule="auto"/>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9361" w:type="dxa"/>
            <w:gridSpan w:val="13"/>
            <w:vAlign w:val="center"/>
          </w:tcPr>
          <w:p>
            <w:pPr>
              <w:pStyle w:val="7"/>
              <w:adjustRightInd w:val="0"/>
              <w:snapToGrid w:val="0"/>
              <w:spacing w:line="300" w:lineRule="auto"/>
              <w:jc w:val="center"/>
              <w:rPr>
                <w:rFonts w:hAnsi="宋体"/>
                <w:sz w:val="24"/>
                <w:szCs w:val="24"/>
              </w:rPr>
            </w:pPr>
            <w:r>
              <w:rPr>
                <w:rFonts w:hint="eastAsia" w:hAnsi="宋体"/>
                <w:sz w:val="24"/>
                <w:szCs w:val="24"/>
              </w:rPr>
              <w:t>项目负责人业绩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项目名称</w:t>
            </w:r>
          </w:p>
        </w:tc>
        <w:tc>
          <w:tcPr>
            <w:tcW w:w="1134" w:type="dxa"/>
            <w:gridSpan w:val="2"/>
            <w:vAlign w:val="center"/>
          </w:tcPr>
          <w:p>
            <w:pPr>
              <w:pStyle w:val="7"/>
              <w:adjustRightInd w:val="0"/>
              <w:snapToGrid w:val="0"/>
              <w:spacing w:line="300" w:lineRule="auto"/>
              <w:jc w:val="center"/>
              <w:rPr>
                <w:rFonts w:hAnsi="宋体"/>
                <w:sz w:val="24"/>
                <w:szCs w:val="24"/>
              </w:rPr>
            </w:pPr>
            <w:r>
              <w:rPr>
                <w:rFonts w:hint="eastAsia" w:hAnsi="宋体"/>
                <w:sz w:val="24"/>
                <w:szCs w:val="24"/>
              </w:rPr>
              <w:t>建设规模</w:t>
            </w:r>
          </w:p>
        </w:tc>
        <w:tc>
          <w:tcPr>
            <w:tcW w:w="2835" w:type="dxa"/>
            <w:gridSpan w:val="4"/>
            <w:vAlign w:val="center"/>
          </w:tcPr>
          <w:p>
            <w:pPr>
              <w:pStyle w:val="7"/>
              <w:adjustRightInd w:val="0"/>
              <w:snapToGrid w:val="0"/>
              <w:spacing w:line="300" w:lineRule="auto"/>
              <w:jc w:val="center"/>
              <w:rPr>
                <w:rFonts w:hAnsi="宋体"/>
                <w:sz w:val="24"/>
                <w:szCs w:val="24"/>
              </w:rPr>
            </w:pPr>
            <w:r>
              <w:rPr>
                <w:rFonts w:hint="eastAsia" w:hAnsi="宋体"/>
                <w:sz w:val="24"/>
                <w:szCs w:val="24"/>
              </w:rPr>
              <w:t>开、竣工程日期</w:t>
            </w:r>
          </w:p>
        </w:tc>
        <w:tc>
          <w:tcPr>
            <w:tcW w:w="2127" w:type="dxa"/>
            <w:gridSpan w:val="3"/>
            <w:vAlign w:val="center"/>
          </w:tcPr>
          <w:p>
            <w:pPr>
              <w:pStyle w:val="7"/>
              <w:adjustRightInd w:val="0"/>
              <w:snapToGrid w:val="0"/>
              <w:spacing w:line="300" w:lineRule="auto"/>
              <w:jc w:val="center"/>
              <w:rPr>
                <w:rFonts w:hAnsi="宋体"/>
                <w:sz w:val="24"/>
                <w:szCs w:val="24"/>
              </w:rPr>
            </w:pPr>
            <w:r>
              <w:rPr>
                <w:rFonts w:hint="eastAsia" w:hAnsi="宋体"/>
                <w:sz w:val="24"/>
                <w:szCs w:val="24"/>
              </w:rPr>
              <w:t>中标价</w:t>
            </w:r>
          </w:p>
        </w:tc>
        <w:tc>
          <w:tcPr>
            <w:tcW w:w="1139" w:type="dxa"/>
            <w:vAlign w:val="center"/>
          </w:tcPr>
          <w:p>
            <w:pPr>
              <w:pStyle w:val="7"/>
              <w:adjustRightInd w:val="0"/>
              <w:snapToGrid w:val="0"/>
              <w:spacing w:line="300" w:lineRule="auto"/>
              <w:jc w:val="center"/>
              <w:rPr>
                <w:rFonts w:hAnsi="宋体"/>
                <w:sz w:val="24"/>
                <w:szCs w:val="24"/>
              </w:rPr>
            </w:pPr>
            <w:r>
              <w:rPr>
                <w:rFonts w:hint="eastAsia" w:hAnsi="宋体"/>
                <w:sz w:val="24"/>
                <w:szCs w:val="24"/>
              </w:rPr>
              <w:t>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7"/>
              <w:adjustRightInd w:val="0"/>
              <w:snapToGrid w:val="0"/>
              <w:spacing w:line="300" w:lineRule="auto"/>
              <w:jc w:val="center"/>
              <w:rPr>
                <w:rFonts w:hAnsi="宋体"/>
                <w:b/>
                <w:bCs/>
                <w:sz w:val="24"/>
                <w:szCs w:val="24"/>
              </w:rPr>
            </w:pPr>
          </w:p>
        </w:tc>
        <w:tc>
          <w:tcPr>
            <w:tcW w:w="1134" w:type="dxa"/>
            <w:gridSpan w:val="2"/>
            <w:vAlign w:val="center"/>
          </w:tcPr>
          <w:p>
            <w:pPr>
              <w:pStyle w:val="7"/>
              <w:adjustRightInd w:val="0"/>
              <w:snapToGrid w:val="0"/>
              <w:spacing w:line="300" w:lineRule="auto"/>
              <w:jc w:val="center"/>
              <w:rPr>
                <w:rFonts w:hAnsi="宋体"/>
                <w:b/>
                <w:bCs/>
                <w:sz w:val="24"/>
                <w:szCs w:val="24"/>
              </w:rPr>
            </w:pPr>
          </w:p>
        </w:tc>
        <w:tc>
          <w:tcPr>
            <w:tcW w:w="2835" w:type="dxa"/>
            <w:gridSpan w:val="4"/>
            <w:vAlign w:val="center"/>
          </w:tcPr>
          <w:p>
            <w:pPr>
              <w:pStyle w:val="7"/>
              <w:adjustRightInd w:val="0"/>
              <w:snapToGrid w:val="0"/>
              <w:spacing w:line="300" w:lineRule="auto"/>
              <w:jc w:val="center"/>
              <w:rPr>
                <w:rFonts w:hAnsi="宋体"/>
                <w:b/>
                <w:bCs/>
                <w:sz w:val="24"/>
                <w:szCs w:val="24"/>
              </w:rPr>
            </w:pPr>
          </w:p>
        </w:tc>
        <w:tc>
          <w:tcPr>
            <w:tcW w:w="2127" w:type="dxa"/>
            <w:gridSpan w:val="3"/>
            <w:vAlign w:val="center"/>
          </w:tcPr>
          <w:p>
            <w:pPr>
              <w:pStyle w:val="7"/>
              <w:adjustRightInd w:val="0"/>
              <w:snapToGrid w:val="0"/>
              <w:spacing w:line="300" w:lineRule="auto"/>
              <w:jc w:val="center"/>
              <w:rPr>
                <w:rFonts w:hAnsi="宋体"/>
                <w:b/>
                <w:bCs/>
                <w:sz w:val="24"/>
                <w:szCs w:val="24"/>
              </w:rPr>
            </w:pPr>
          </w:p>
        </w:tc>
        <w:tc>
          <w:tcPr>
            <w:tcW w:w="1139" w:type="dxa"/>
            <w:vAlign w:val="center"/>
          </w:tcPr>
          <w:p>
            <w:pPr>
              <w:pStyle w:val="7"/>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7"/>
              <w:adjustRightInd w:val="0"/>
              <w:snapToGrid w:val="0"/>
              <w:spacing w:line="300" w:lineRule="auto"/>
              <w:jc w:val="center"/>
              <w:rPr>
                <w:rFonts w:hAnsi="宋体"/>
                <w:b/>
                <w:bCs/>
                <w:sz w:val="24"/>
                <w:szCs w:val="24"/>
              </w:rPr>
            </w:pPr>
          </w:p>
        </w:tc>
        <w:tc>
          <w:tcPr>
            <w:tcW w:w="1134" w:type="dxa"/>
            <w:gridSpan w:val="2"/>
            <w:vAlign w:val="center"/>
          </w:tcPr>
          <w:p>
            <w:pPr>
              <w:pStyle w:val="7"/>
              <w:adjustRightInd w:val="0"/>
              <w:snapToGrid w:val="0"/>
              <w:spacing w:line="300" w:lineRule="auto"/>
              <w:jc w:val="center"/>
              <w:rPr>
                <w:rFonts w:hAnsi="宋体"/>
                <w:b/>
                <w:bCs/>
                <w:sz w:val="24"/>
                <w:szCs w:val="24"/>
              </w:rPr>
            </w:pPr>
          </w:p>
        </w:tc>
        <w:tc>
          <w:tcPr>
            <w:tcW w:w="2835" w:type="dxa"/>
            <w:gridSpan w:val="4"/>
            <w:vAlign w:val="center"/>
          </w:tcPr>
          <w:p>
            <w:pPr>
              <w:pStyle w:val="7"/>
              <w:adjustRightInd w:val="0"/>
              <w:snapToGrid w:val="0"/>
              <w:spacing w:line="300" w:lineRule="auto"/>
              <w:jc w:val="center"/>
              <w:rPr>
                <w:rFonts w:hAnsi="宋体"/>
                <w:b/>
                <w:bCs/>
                <w:sz w:val="24"/>
                <w:szCs w:val="24"/>
              </w:rPr>
            </w:pPr>
          </w:p>
        </w:tc>
        <w:tc>
          <w:tcPr>
            <w:tcW w:w="2127" w:type="dxa"/>
            <w:gridSpan w:val="3"/>
            <w:vAlign w:val="center"/>
          </w:tcPr>
          <w:p>
            <w:pPr>
              <w:pStyle w:val="7"/>
              <w:adjustRightInd w:val="0"/>
              <w:snapToGrid w:val="0"/>
              <w:spacing w:line="300" w:lineRule="auto"/>
              <w:jc w:val="center"/>
              <w:rPr>
                <w:rFonts w:hAnsi="宋体"/>
                <w:b/>
                <w:bCs/>
                <w:sz w:val="24"/>
                <w:szCs w:val="24"/>
              </w:rPr>
            </w:pPr>
          </w:p>
        </w:tc>
        <w:tc>
          <w:tcPr>
            <w:tcW w:w="1139" w:type="dxa"/>
            <w:vAlign w:val="center"/>
          </w:tcPr>
          <w:p>
            <w:pPr>
              <w:pStyle w:val="7"/>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7"/>
              <w:adjustRightInd w:val="0"/>
              <w:snapToGrid w:val="0"/>
              <w:spacing w:line="300" w:lineRule="auto"/>
              <w:jc w:val="center"/>
              <w:rPr>
                <w:rFonts w:hAnsi="宋体"/>
                <w:b/>
                <w:bCs/>
                <w:sz w:val="24"/>
                <w:szCs w:val="24"/>
              </w:rPr>
            </w:pPr>
          </w:p>
        </w:tc>
        <w:tc>
          <w:tcPr>
            <w:tcW w:w="1134" w:type="dxa"/>
            <w:gridSpan w:val="2"/>
            <w:vAlign w:val="center"/>
          </w:tcPr>
          <w:p>
            <w:pPr>
              <w:pStyle w:val="7"/>
              <w:adjustRightInd w:val="0"/>
              <w:snapToGrid w:val="0"/>
              <w:spacing w:line="300" w:lineRule="auto"/>
              <w:jc w:val="center"/>
              <w:rPr>
                <w:rFonts w:hAnsi="宋体"/>
                <w:b/>
                <w:bCs/>
                <w:sz w:val="24"/>
                <w:szCs w:val="24"/>
              </w:rPr>
            </w:pPr>
          </w:p>
        </w:tc>
        <w:tc>
          <w:tcPr>
            <w:tcW w:w="2835" w:type="dxa"/>
            <w:gridSpan w:val="4"/>
            <w:vAlign w:val="center"/>
          </w:tcPr>
          <w:p>
            <w:pPr>
              <w:pStyle w:val="7"/>
              <w:adjustRightInd w:val="0"/>
              <w:snapToGrid w:val="0"/>
              <w:spacing w:line="300" w:lineRule="auto"/>
              <w:jc w:val="center"/>
              <w:rPr>
                <w:rFonts w:hAnsi="宋体"/>
                <w:b/>
                <w:bCs/>
                <w:sz w:val="24"/>
                <w:szCs w:val="24"/>
              </w:rPr>
            </w:pPr>
          </w:p>
        </w:tc>
        <w:tc>
          <w:tcPr>
            <w:tcW w:w="2127" w:type="dxa"/>
            <w:gridSpan w:val="3"/>
            <w:vAlign w:val="center"/>
          </w:tcPr>
          <w:p>
            <w:pPr>
              <w:pStyle w:val="7"/>
              <w:adjustRightInd w:val="0"/>
              <w:snapToGrid w:val="0"/>
              <w:spacing w:line="300" w:lineRule="auto"/>
              <w:jc w:val="center"/>
              <w:rPr>
                <w:rFonts w:hAnsi="宋体"/>
                <w:b/>
                <w:bCs/>
                <w:sz w:val="24"/>
                <w:szCs w:val="24"/>
              </w:rPr>
            </w:pPr>
          </w:p>
        </w:tc>
        <w:tc>
          <w:tcPr>
            <w:tcW w:w="1139" w:type="dxa"/>
            <w:vAlign w:val="center"/>
          </w:tcPr>
          <w:p>
            <w:pPr>
              <w:pStyle w:val="7"/>
              <w:adjustRightInd w:val="0"/>
              <w:snapToGrid w:val="0"/>
              <w:spacing w:line="300" w:lineRule="auto"/>
              <w:jc w:val="center"/>
              <w:rPr>
                <w:rFonts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126" w:type="dxa"/>
            <w:gridSpan w:val="3"/>
            <w:vAlign w:val="center"/>
          </w:tcPr>
          <w:p>
            <w:pPr>
              <w:pStyle w:val="7"/>
              <w:adjustRightInd w:val="0"/>
              <w:snapToGrid w:val="0"/>
              <w:spacing w:line="300" w:lineRule="auto"/>
              <w:jc w:val="center"/>
              <w:rPr>
                <w:rFonts w:hAnsi="宋体"/>
                <w:b/>
                <w:bCs/>
                <w:sz w:val="24"/>
                <w:szCs w:val="24"/>
              </w:rPr>
            </w:pPr>
          </w:p>
        </w:tc>
        <w:tc>
          <w:tcPr>
            <w:tcW w:w="1134" w:type="dxa"/>
            <w:gridSpan w:val="2"/>
            <w:vAlign w:val="center"/>
          </w:tcPr>
          <w:p>
            <w:pPr>
              <w:pStyle w:val="7"/>
              <w:adjustRightInd w:val="0"/>
              <w:snapToGrid w:val="0"/>
              <w:spacing w:line="300" w:lineRule="auto"/>
              <w:jc w:val="center"/>
              <w:rPr>
                <w:rFonts w:hAnsi="宋体"/>
                <w:b/>
                <w:bCs/>
                <w:sz w:val="24"/>
                <w:szCs w:val="24"/>
              </w:rPr>
            </w:pPr>
          </w:p>
        </w:tc>
        <w:tc>
          <w:tcPr>
            <w:tcW w:w="2835" w:type="dxa"/>
            <w:gridSpan w:val="4"/>
            <w:vAlign w:val="center"/>
          </w:tcPr>
          <w:p>
            <w:pPr>
              <w:pStyle w:val="7"/>
              <w:adjustRightInd w:val="0"/>
              <w:snapToGrid w:val="0"/>
              <w:spacing w:line="300" w:lineRule="auto"/>
              <w:jc w:val="center"/>
              <w:rPr>
                <w:rFonts w:hAnsi="宋体"/>
                <w:b/>
                <w:bCs/>
                <w:sz w:val="24"/>
                <w:szCs w:val="24"/>
              </w:rPr>
            </w:pPr>
          </w:p>
        </w:tc>
        <w:tc>
          <w:tcPr>
            <w:tcW w:w="2127" w:type="dxa"/>
            <w:gridSpan w:val="3"/>
            <w:vAlign w:val="center"/>
          </w:tcPr>
          <w:p>
            <w:pPr>
              <w:pStyle w:val="7"/>
              <w:adjustRightInd w:val="0"/>
              <w:snapToGrid w:val="0"/>
              <w:spacing w:line="300" w:lineRule="auto"/>
              <w:jc w:val="center"/>
              <w:rPr>
                <w:rFonts w:hAnsi="宋体"/>
                <w:b/>
                <w:bCs/>
                <w:sz w:val="24"/>
                <w:szCs w:val="24"/>
              </w:rPr>
            </w:pPr>
          </w:p>
        </w:tc>
        <w:tc>
          <w:tcPr>
            <w:tcW w:w="1139" w:type="dxa"/>
            <w:vAlign w:val="center"/>
          </w:tcPr>
          <w:p>
            <w:pPr>
              <w:pStyle w:val="7"/>
              <w:adjustRightInd w:val="0"/>
              <w:snapToGrid w:val="0"/>
              <w:spacing w:line="300" w:lineRule="auto"/>
              <w:jc w:val="center"/>
              <w:rPr>
                <w:rFonts w:hAnsi="宋体"/>
                <w:b/>
                <w:bCs/>
                <w:sz w:val="24"/>
                <w:szCs w:val="24"/>
              </w:rPr>
            </w:pPr>
          </w:p>
        </w:tc>
      </w:tr>
      <w:bookmarkEnd w:id="73"/>
      <w:bookmarkEnd w:id="74"/>
    </w:tbl>
    <w:p>
      <w:pPr>
        <w:jc w:val="center"/>
        <w:rPr>
          <w:rFonts w:ascii="宋体" w:hAnsi="宋体"/>
          <w:szCs w:val="21"/>
        </w:rPr>
      </w:pPr>
    </w:p>
    <w:p>
      <w:pPr>
        <w:widowControl/>
        <w:snapToGrid w:val="0"/>
        <w:spacing w:before="156" w:beforeLines="50" w:line="360" w:lineRule="auto"/>
        <w:rPr>
          <w:rFonts w:asciiTheme="minorEastAsia" w:hAnsiTheme="minorEastAsia" w:eastAsiaTheme="minorEastAsia" w:cstheme="minorEastAsia"/>
          <w:kern w:val="0"/>
          <w:sz w:val="24"/>
        </w:rPr>
      </w:pPr>
    </w:p>
    <w:p>
      <w:pPr>
        <w:pStyle w:val="7"/>
        <w:adjustRightInd w:val="0"/>
        <w:snapToGrid w:val="0"/>
        <w:spacing w:line="300" w:lineRule="auto"/>
        <w:ind w:firstLine="640"/>
        <w:jc w:val="center"/>
        <w:rPr>
          <w:rFonts w:hAnsi="宋体"/>
          <w:b/>
          <w:bCs/>
          <w:sz w:val="24"/>
          <w:szCs w:val="24"/>
        </w:rPr>
      </w:pPr>
      <w:r>
        <w:rPr>
          <w:rFonts w:hint="eastAsia" w:hAnsi="宋体"/>
          <w:b/>
          <w:bCs/>
          <w:sz w:val="24"/>
          <w:szCs w:val="24"/>
        </w:rPr>
        <w:t>主要施工管理人员表</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930"/>
        <w:gridCol w:w="930"/>
        <w:gridCol w:w="750"/>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1" w:type="dxa"/>
            <w:vAlign w:val="center"/>
          </w:tcPr>
          <w:p>
            <w:pPr>
              <w:pStyle w:val="7"/>
              <w:adjustRightInd w:val="0"/>
              <w:snapToGrid w:val="0"/>
              <w:spacing w:line="300" w:lineRule="auto"/>
              <w:jc w:val="center"/>
              <w:rPr>
                <w:rFonts w:hAnsi="宋体"/>
                <w:sz w:val="24"/>
                <w:szCs w:val="24"/>
              </w:rPr>
            </w:pPr>
            <w:r>
              <w:rPr>
                <w:rFonts w:hint="eastAsia" w:hAnsi="宋体"/>
                <w:sz w:val="24"/>
                <w:szCs w:val="24"/>
              </w:rPr>
              <w:t>名称</w:t>
            </w:r>
          </w:p>
        </w:tc>
        <w:tc>
          <w:tcPr>
            <w:tcW w:w="930" w:type="dxa"/>
            <w:vAlign w:val="center"/>
          </w:tcPr>
          <w:p>
            <w:pPr>
              <w:pStyle w:val="7"/>
              <w:adjustRightInd w:val="0"/>
              <w:snapToGrid w:val="0"/>
              <w:spacing w:line="300" w:lineRule="auto"/>
              <w:jc w:val="center"/>
              <w:rPr>
                <w:rFonts w:hAnsi="宋体"/>
                <w:sz w:val="24"/>
                <w:szCs w:val="24"/>
              </w:rPr>
            </w:pPr>
            <w:r>
              <w:rPr>
                <w:rFonts w:hint="eastAsia" w:hAnsi="宋体"/>
                <w:sz w:val="24"/>
                <w:szCs w:val="24"/>
              </w:rPr>
              <w:t>姓名</w:t>
            </w:r>
          </w:p>
        </w:tc>
        <w:tc>
          <w:tcPr>
            <w:tcW w:w="930" w:type="dxa"/>
            <w:vAlign w:val="center"/>
          </w:tcPr>
          <w:p>
            <w:pPr>
              <w:pStyle w:val="7"/>
              <w:adjustRightInd w:val="0"/>
              <w:snapToGrid w:val="0"/>
              <w:spacing w:line="300" w:lineRule="auto"/>
              <w:jc w:val="center"/>
              <w:rPr>
                <w:rFonts w:hAnsi="宋体"/>
                <w:sz w:val="24"/>
                <w:szCs w:val="24"/>
              </w:rPr>
            </w:pPr>
            <w:r>
              <w:rPr>
                <w:rFonts w:hint="eastAsia" w:hAnsi="宋体"/>
                <w:sz w:val="24"/>
                <w:szCs w:val="24"/>
              </w:rPr>
              <w:t>职务</w:t>
            </w:r>
          </w:p>
        </w:tc>
        <w:tc>
          <w:tcPr>
            <w:tcW w:w="750" w:type="dxa"/>
            <w:vAlign w:val="center"/>
          </w:tcPr>
          <w:p>
            <w:pPr>
              <w:pStyle w:val="7"/>
              <w:adjustRightInd w:val="0"/>
              <w:snapToGrid w:val="0"/>
              <w:spacing w:line="300" w:lineRule="auto"/>
              <w:jc w:val="center"/>
              <w:rPr>
                <w:rFonts w:hAnsi="宋体"/>
                <w:sz w:val="24"/>
                <w:szCs w:val="24"/>
              </w:rPr>
            </w:pPr>
            <w:r>
              <w:rPr>
                <w:rFonts w:hint="eastAsia" w:hAnsi="宋体"/>
                <w:sz w:val="24"/>
                <w:szCs w:val="24"/>
              </w:rPr>
              <w:t>职称</w:t>
            </w:r>
          </w:p>
        </w:tc>
        <w:tc>
          <w:tcPr>
            <w:tcW w:w="4821" w:type="dxa"/>
            <w:vAlign w:val="center"/>
          </w:tcPr>
          <w:p>
            <w:pPr>
              <w:pStyle w:val="7"/>
              <w:adjustRightInd w:val="0"/>
              <w:snapToGrid w:val="0"/>
              <w:spacing w:line="300" w:lineRule="auto"/>
              <w:jc w:val="center"/>
              <w:rPr>
                <w:rFonts w:hAnsi="宋体"/>
                <w:sz w:val="24"/>
                <w:szCs w:val="24"/>
              </w:rPr>
            </w:pPr>
            <w:r>
              <w:rPr>
                <w:rFonts w:hint="eastAsia" w:hAnsi="宋体"/>
                <w:sz w:val="24"/>
                <w:szCs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1891" w:type="dxa"/>
          </w:tcPr>
          <w:p>
            <w:pPr>
              <w:pStyle w:val="7"/>
              <w:adjustRightInd w:val="0"/>
              <w:snapToGrid w:val="0"/>
              <w:spacing w:line="300" w:lineRule="auto"/>
              <w:rPr>
                <w:rFonts w:hAnsi="宋体"/>
                <w:sz w:val="24"/>
                <w:szCs w:val="24"/>
              </w:rPr>
            </w:pPr>
            <w:r>
              <w:rPr>
                <w:rFonts w:hint="eastAsia" w:hAnsi="宋体"/>
                <w:sz w:val="24"/>
                <w:szCs w:val="24"/>
              </w:rPr>
              <w:t>一、总部</w:t>
            </w:r>
          </w:p>
          <w:p>
            <w:pPr>
              <w:pStyle w:val="7"/>
              <w:adjustRightInd w:val="0"/>
              <w:snapToGrid w:val="0"/>
              <w:spacing w:line="300" w:lineRule="auto"/>
              <w:rPr>
                <w:rFonts w:hAnsi="宋体"/>
                <w:sz w:val="24"/>
                <w:szCs w:val="24"/>
              </w:rPr>
            </w:pPr>
            <w:r>
              <w:rPr>
                <w:rFonts w:hint="eastAsia" w:hAnsi="宋体"/>
                <w:sz w:val="24"/>
                <w:szCs w:val="24"/>
              </w:rPr>
              <w:t xml:space="preserve">  1.项目主管</w:t>
            </w:r>
          </w:p>
          <w:p>
            <w:pPr>
              <w:pStyle w:val="7"/>
              <w:adjustRightInd w:val="0"/>
              <w:snapToGrid w:val="0"/>
              <w:spacing w:line="300" w:lineRule="auto"/>
              <w:rPr>
                <w:rFonts w:hAnsi="宋体"/>
                <w:sz w:val="24"/>
                <w:szCs w:val="24"/>
              </w:rPr>
            </w:pPr>
            <w:r>
              <w:rPr>
                <w:rFonts w:hint="eastAsia" w:hAnsi="宋体"/>
                <w:sz w:val="24"/>
                <w:szCs w:val="24"/>
              </w:rPr>
              <w:t xml:space="preserve">  2.其他人员</w:t>
            </w:r>
          </w:p>
          <w:p>
            <w:pPr>
              <w:pStyle w:val="7"/>
              <w:adjustRightInd w:val="0"/>
              <w:snapToGrid w:val="0"/>
              <w:spacing w:line="300" w:lineRule="auto"/>
              <w:ind w:firstLine="630"/>
              <w:rPr>
                <w:rFonts w:hAnsi="宋体"/>
                <w:sz w:val="24"/>
                <w:szCs w:val="24"/>
              </w:rPr>
            </w:pPr>
            <w:r>
              <w:rPr>
                <w:rFonts w:hint="eastAsia" w:hAnsi="宋体"/>
                <w:sz w:val="24"/>
                <w:szCs w:val="24"/>
              </w:rPr>
              <w:t>…</w:t>
            </w:r>
          </w:p>
          <w:p>
            <w:pPr>
              <w:pStyle w:val="7"/>
              <w:adjustRightInd w:val="0"/>
              <w:snapToGrid w:val="0"/>
              <w:spacing w:line="300" w:lineRule="auto"/>
              <w:rPr>
                <w:rFonts w:hAnsi="宋体"/>
                <w:sz w:val="24"/>
                <w:szCs w:val="24"/>
              </w:rPr>
            </w:pPr>
            <w:r>
              <w:rPr>
                <w:rFonts w:hint="eastAsia" w:hAnsi="宋体"/>
                <w:sz w:val="24"/>
                <w:szCs w:val="24"/>
              </w:rPr>
              <w:t>二、现场</w:t>
            </w:r>
          </w:p>
          <w:p>
            <w:pPr>
              <w:numPr>
                <w:ilvl w:val="0"/>
                <w:numId w:val="4"/>
              </w:numPr>
              <w:tabs>
                <w:tab w:val="left" w:pos="0"/>
              </w:tabs>
              <w:spacing w:line="300" w:lineRule="auto"/>
              <w:rPr>
                <w:rFonts w:ascii="宋体" w:hAnsi="宋体"/>
                <w:sz w:val="24"/>
              </w:rPr>
            </w:pPr>
            <w:r>
              <w:rPr>
                <w:rFonts w:hint="eastAsia" w:ascii="宋体" w:hAnsi="宋体"/>
                <w:sz w:val="24"/>
              </w:rPr>
              <w:t>项目经理</w:t>
            </w:r>
          </w:p>
          <w:p>
            <w:pPr>
              <w:numPr>
                <w:ilvl w:val="0"/>
                <w:numId w:val="4"/>
              </w:numPr>
              <w:tabs>
                <w:tab w:val="left" w:pos="0"/>
              </w:tabs>
              <w:spacing w:line="300" w:lineRule="auto"/>
              <w:rPr>
                <w:rFonts w:ascii="宋体" w:hAnsi="宋体"/>
                <w:sz w:val="24"/>
              </w:rPr>
            </w:pPr>
            <w:r>
              <w:rPr>
                <w:rFonts w:hint="eastAsia" w:ascii="宋体" w:hAnsi="宋体"/>
                <w:sz w:val="24"/>
              </w:rPr>
              <w:t>项目副经理</w:t>
            </w:r>
          </w:p>
          <w:p>
            <w:pPr>
              <w:numPr>
                <w:ilvl w:val="0"/>
                <w:numId w:val="4"/>
              </w:numPr>
              <w:tabs>
                <w:tab w:val="left" w:pos="0"/>
              </w:tabs>
              <w:spacing w:line="300" w:lineRule="auto"/>
              <w:rPr>
                <w:rFonts w:ascii="宋体" w:hAnsi="宋体"/>
                <w:sz w:val="24"/>
              </w:rPr>
            </w:pPr>
            <w:r>
              <w:rPr>
                <w:rFonts w:hint="eastAsia" w:ascii="宋体" w:hAnsi="宋体"/>
                <w:sz w:val="24"/>
              </w:rPr>
              <w:t>技术负责人</w:t>
            </w:r>
          </w:p>
          <w:p>
            <w:pPr>
              <w:numPr>
                <w:ilvl w:val="0"/>
                <w:numId w:val="4"/>
              </w:numPr>
              <w:tabs>
                <w:tab w:val="left" w:pos="0"/>
              </w:tabs>
              <w:spacing w:line="300" w:lineRule="auto"/>
              <w:rPr>
                <w:rFonts w:ascii="宋体" w:hAnsi="宋体"/>
                <w:sz w:val="24"/>
              </w:rPr>
            </w:pPr>
            <w:r>
              <w:rPr>
                <w:rFonts w:hint="eastAsia" w:ascii="宋体" w:hAnsi="宋体"/>
                <w:sz w:val="24"/>
              </w:rPr>
              <w:t>施工员</w:t>
            </w:r>
          </w:p>
          <w:p>
            <w:pPr>
              <w:numPr>
                <w:ilvl w:val="0"/>
                <w:numId w:val="4"/>
              </w:numPr>
              <w:tabs>
                <w:tab w:val="left" w:pos="0"/>
              </w:tabs>
              <w:spacing w:line="300" w:lineRule="auto"/>
              <w:rPr>
                <w:rFonts w:ascii="宋体" w:hAnsi="宋体"/>
                <w:sz w:val="24"/>
              </w:rPr>
            </w:pPr>
            <w:r>
              <w:rPr>
                <w:rFonts w:hint="eastAsia" w:ascii="宋体" w:hAnsi="宋体"/>
                <w:sz w:val="24"/>
              </w:rPr>
              <w:t>质量员</w:t>
            </w:r>
          </w:p>
          <w:p>
            <w:pPr>
              <w:numPr>
                <w:ilvl w:val="0"/>
                <w:numId w:val="4"/>
              </w:numPr>
              <w:tabs>
                <w:tab w:val="left" w:pos="0"/>
              </w:tabs>
              <w:spacing w:line="300" w:lineRule="auto"/>
              <w:rPr>
                <w:rFonts w:ascii="宋体" w:hAnsi="宋体"/>
                <w:sz w:val="24"/>
              </w:rPr>
            </w:pPr>
            <w:r>
              <w:rPr>
                <w:rFonts w:hint="eastAsia" w:ascii="宋体" w:hAnsi="宋体"/>
                <w:sz w:val="24"/>
              </w:rPr>
              <w:t>安全员</w:t>
            </w:r>
          </w:p>
          <w:p>
            <w:pPr>
              <w:numPr>
                <w:ilvl w:val="0"/>
                <w:numId w:val="4"/>
              </w:numPr>
              <w:tabs>
                <w:tab w:val="left" w:pos="0"/>
              </w:tabs>
              <w:spacing w:line="300" w:lineRule="auto"/>
              <w:rPr>
                <w:rFonts w:ascii="宋体" w:hAnsi="宋体"/>
                <w:sz w:val="24"/>
              </w:rPr>
            </w:pPr>
            <w:r>
              <w:rPr>
                <w:rFonts w:hint="eastAsia" w:ascii="宋体" w:hAnsi="宋体"/>
                <w:sz w:val="24"/>
              </w:rPr>
              <w:t>材料员</w:t>
            </w:r>
          </w:p>
          <w:p>
            <w:pPr>
              <w:pStyle w:val="7"/>
              <w:adjustRightInd w:val="0"/>
              <w:snapToGrid w:val="0"/>
              <w:spacing w:line="300" w:lineRule="auto"/>
              <w:rPr>
                <w:rFonts w:hAnsi="宋体"/>
                <w:sz w:val="24"/>
                <w:szCs w:val="24"/>
              </w:rPr>
            </w:pPr>
            <w:r>
              <w:rPr>
                <w:rFonts w:hint="eastAsia" w:hAnsi="宋体"/>
                <w:sz w:val="24"/>
                <w:szCs w:val="24"/>
              </w:rPr>
              <w:t>8、预算员</w:t>
            </w:r>
          </w:p>
        </w:tc>
        <w:tc>
          <w:tcPr>
            <w:tcW w:w="930" w:type="dxa"/>
          </w:tcPr>
          <w:p>
            <w:pPr>
              <w:pStyle w:val="7"/>
              <w:adjustRightInd w:val="0"/>
              <w:snapToGrid w:val="0"/>
              <w:spacing w:line="300" w:lineRule="auto"/>
              <w:rPr>
                <w:rFonts w:hAnsi="宋体"/>
                <w:sz w:val="24"/>
                <w:szCs w:val="24"/>
              </w:rPr>
            </w:pPr>
          </w:p>
        </w:tc>
        <w:tc>
          <w:tcPr>
            <w:tcW w:w="930" w:type="dxa"/>
          </w:tcPr>
          <w:p>
            <w:pPr>
              <w:pStyle w:val="7"/>
              <w:adjustRightInd w:val="0"/>
              <w:snapToGrid w:val="0"/>
              <w:spacing w:line="300" w:lineRule="auto"/>
              <w:rPr>
                <w:rFonts w:hAnsi="宋体"/>
                <w:sz w:val="24"/>
                <w:szCs w:val="24"/>
              </w:rPr>
            </w:pPr>
          </w:p>
        </w:tc>
        <w:tc>
          <w:tcPr>
            <w:tcW w:w="750" w:type="dxa"/>
          </w:tcPr>
          <w:p>
            <w:pPr>
              <w:pStyle w:val="7"/>
              <w:adjustRightInd w:val="0"/>
              <w:snapToGrid w:val="0"/>
              <w:spacing w:line="300" w:lineRule="auto"/>
              <w:rPr>
                <w:rFonts w:hAnsi="宋体"/>
                <w:sz w:val="24"/>
                <w:szCs w:val="24"/>
              </w:rPr>
            </w:pPr>
          </w:p>
        </w:tc>
        <w:tc>
          <w:tcPr>
            <w:tcW w:w="4821" w:type="dxa"/>
          </w:tcPr>
          <w:p>
            <w:pPr>
              <w:pStyle w:val="7"/>
              <w:adjustRightInd w:val="0"/>
              <w:snapToGrid w:val="0"/>
              <w:spacing w:line="300" w:lineRule="auto"/>
              <w:rPr>
                <w:rFonts w:hAnsi="宋体"/>
                <w:sz w:val="24"/>
                <w:szCs w:val="24"/>
              </w:rPr>
            </w:pPr>
          </w:p>
        </w:tc>
      </w:tr>
    </w:tbl>
    <w:p>
      <w:pPr>
        <w:widowControl/>
        <w:snapToGrid w:val="0"/>
        <w:spacing w:before="156" w:beforeLines="50" w:line="360" w:lineRule="auto"/>
        <w:rPr>
          <w:rFonts w:asciiTheme="minorEastAsia" w:hAnsiTheme="minorEastAsia" w:eastAsiaTheme="minorEastAsia" w:cstheme="minorEastAsia"/>
          <w:kern w:val="0"/>
          <w:sz w:val="24"/>
        </w:rPr>
      </w:pPr>
    </w:p>
    <w:p>
      <w:pPr>
        <w:widowControl/>
        <w:snapToGrid w:val="0"/>
        <w:spacing w:before="156" w:beforeLines="50"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供应商名称（公章）：</w:t>
      </w:r>
    </w:p>
    <w:p>
      <w:pPr>
        <w:snapToGrid w:val="0"/>
        <w:spacing w:before="156"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w:t>
      </w:r>
    </w:p>
    <w:p>
      <w:pPr>
        <w:pStyle w:val="4"/>
        <w:numPr>
          <w:ilvl w:val="0"/>
          <w:numId w:val="0"/>
        </w:numPr>
        <w:snapToGrid w:val="0"/>
        <w:spacing w:before="156" w:beforeLines="50" w:line="360" w:lineRule="auto"/>
        <w:rPr>
          <w:rFonts w:asciiTheme="minorEastAsia" w:hAnsiTheme="minorEastAsia" w:eastAsiaTheme="minorEastAsia" w:cstheme="minorEastAsia"/>
          <w:b/>
          <w:bCs/>
          <w:sz w:val="24"/>
          <w:szCs w:val="24"/>
        </w:rPr>
      </w:pPr>
      <w:bookmarkStart w:id="75" w:name="_Toc471818706"/>
      <w:r>
        <w:rPr>
          <w:rFonts w:hint="eastAsia" w:asciiTheme="minorEastAsia" w:hAnsiTheme="minorEastAsia" w:eastAsiaTheme="minorEastAsia" w:cstheme="minorEastAsia"/>
          <w:b/>
          <w:bCs/>
          <w:sz w:val="24"/>
          <w:szCs w:val="24"/>
        </w:rPr>
        <w:t>附件六：</w:t>
      </w:r>
    </w:p>
    <w:p>
      <w:pPr>
        <w:spacing w:before="156" w:beforeLines="50" w:line="360" w:lineRule="auto"/>
        <w:ind w:firstLine="1303" w:firstLineChars="541"/>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参加政府采购活动前 3 年内在经营活动中</w:t>
      </w:r>
    </w:p>
    <w:p>
      <w:pPr>
        <w:spacing w:before="156" w:beforeLines="5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没有重大违法记录的书面声明</w:t>
      </w:r>
    </w:p>
    <w:p>
      <w:pPr>
        <w:spacing w:before="156" w:beforeLines="50" w:line="360" w:lineRule="auto"/>
        <w:jc w:val="center"/>
        <w:rPr>
          <w:rFonts w:asciiTheme="minorEastAsia" w:hAnsiTheme="minorEastAsia" w:eastAsiaTheme="minorEastAsia" w:cstheme="minorEastAsia"/>
          <w:b/>
          <w:bCs/>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我公司郑重声明：参加本次政府采购活动前 3 年内，我公司在经营活动中没有因违法经营受到刑事处罚或者责令停产停业、吊销许可证或者执照、较大数额罚款等行政处罚。</w:t>
      </w:r>
    </w:p>
    <w:p>
      <w:pPr>
        <w:snapToGrid w:val="0"/>
        <w:spacing w:before="156" w:beforeLines="50" w:line="360" w:lineRule="auto"/>
        <w:rPr>
          <w:rFonts w:asciiTheme="minorEastAsia" w:hAnsiTheme="minorEastAsia" w:eastAsiaTheme="minorEastAsia" w:cstheme="minorEastAsia"/>
          <w:sz w:val="24"/>
        </w:rPr>
      </w:pP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供应商名称（公章）：</w:t>
      </w:r>
    </w:p>
    <w:p>
      <w:pPr>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法定代表人或代理人（签字或盖章）：_______________________</w:t>
      </w:r>
    </w:p>
    <w:p>
      <w:pPr>
        <w:snapToGrid w:val="0"/>
        <w:spacing w:before="156"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日期：______年___月___日</w:t>
      </w:r>
    </w:p>
    <w:p>
      <w:pPr>
        <w:snapToGrid w:val="0"/>
        <w:spacing w:before="156" w:beforeLines="50" w:line="360" w:lineRule="auto"/>
        <w:ind w:firstLine="480" w:firstLineChars="200"/>
        <w:rPr>
          <w:rFonts w:hint="eastAsia" w:asciiTheme="minorEastAsia" w:hAnsiTheme="minorEastAsia" w:eastAsiaTheme="minorEastAsia" w:cstheme="minorEastAsia"/>
          <w:sz w:val="24"/>
        </w:rPr>
      </w:pPr>
    </w:p>
    <w:p>
      <w:pPr>
        <w:snapToGrid w:val="0"/>
        <w:spacing w:before="156" w:beforeLines="50" w:line="360" w:lineRule="auto"/>
        <w:ind w:firstLine="480" w:firstLineChars="200"/>
        <w:rPr>
          <w:rFonts w:hint="eastAsia" w:asciiTheme="minorEastAsia" w:hAnsiTheme="minorEastAsia" w:eastAsiaTheme="minorEastAsia" w:cstheme="minorEastAsia"/>
          <w:sz w:val="24"/>
        </w:rPr>
      </w:pPr>
    </w:p>
    <w:p>
      <w:pPr>
        <w:snapToGrid w:val="0"/>
        <w:spacing w:before="156" w:beforeLines="50" w:line="360" w:lineRule="auto"/>
        <w:ind w:firstLine="480" w:firstLineChars="200"/>
        <w:rPr>
          <w:rFonts w:hint="eastAsia" w:asciiTheme="minorEastAsia" w:hAnsiTheme="minorEastAsia" w:eastAsiaTheme="minorEastAsia" w:cstheme="minorEastAsia"/>
          <w:sz w:val="24"/>
        </w:rPr>
      </w:pPr>
    </w:p>
    <w:p>
      <w:pPr>
        <w:snapToGrid w:val="0"/>
        <w:spacing w:before="156" w:beforeLines="50"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第七章 采购需求</w:t>
      </w:r>
      <w:bookmarkEnd w:id="75"/>
      <w:bookmarkStart w:id="76" w:name="_Toc526071394"/>
    </w:p>
    <w:p>
      <w:pPr>
        <w:rPr>
          <w:rFonts w:ascii="宋体" w:hAnsi="宋体" w:cs="宋体"/>
          <w:bCs/>
          <w:szCs w:val="21"/>
        </w:rPr>
      </w:pPr>
    </w:p>
    <w:p>
      <w:pPr>
        <w:ind w:firstLine="210" w:firstLineChars="100"/>
        <w:rPr>
          <w:rFonts w:ascii="宋体" w:hAnsi="宋体" w:cs="宋体"/>
          <w:bCs/>
          <w:szCs w:val="21"/>
        </w:rPr>
      </w:pPr>
      <w:r>
        <w:rPr>
          <w:rFonts w:ascii="宋体" w:hAnsi="宋体" w:cs="宋体"/>
          <w:bCs/>
          <w:szCs w:val="21"/>
        </w:rPr>
        <w:t>采购需求详见编制说明、工程量清单</w:t>
      </w:r>
      <w:bookmarkEnd w:id="76"/>
      <w:bookmarkStart w:id="77" w:name="_Toc471818707"/>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hint="eastAsia" w:asciiTheme="minorEastAsia" w:hAnsiTheme="minorEastAsia" w:eastAsiaTheme="minorEastAsia" w:cstheme="minorEastAsia"/>
          <w:sz w:val="24"/>
          <w:szCs w:val="24"/>
        </w:rPr>
      </w:pPr>
    </w:p>
    <w:p>
      <w:pPr>
        <w:ind w:firstLine="240" w:firstLineChars="1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评审办法</w:t>
      </w:r>
      <w:bookmarkEnd w:id="77"/>
    </w:p>
    <w:p>
      <w:pPr>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本项目采用综合评分法</w:t>
      </w:r>
      <w:r>
        <w:rPr>
          <w:rFonts w:hint="eastAsia" w:asciiTheme="minorEastAsia" w:hAnsiTheme="minorEastAsia" w:eastAsiaTheme="minorEastAsia" w:cstheme="minorEastAsia"/>
          <w:sz w:val="24"/>
        </w:rPr>
        <w:t>，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hint="eastAsia" w:asciiTheme="minorEastAsia" w:hAnsiTheme="minorEastAsia" w:eastAsiaTheme="minorEastAsia" w:cstheme="minorEastAsia"/>
          <w:spacing w:val="-6"/>
          <w:sz w:val="24"/>
        </w:rPr>
        <w:t>按评审后最终综合得分由高到低顺序排列名次，并</w:t>
      </w:r>
      <w:r>
        <w:rPr>
          <w:rFonts w:hint="eastAsia" w:asciiTheme="minorEastAsia" w:hAnsiTheme="minorEastAsia" w:eastAsiaTheme="minorEastAsia" w:cstheme="minorEastAsia"/>
          <w:sz w:val="24"/>
        </w:rPr>
        <w:t>推荐出成交人</w:t>
      </w:r>
      <w:r>
        <w:rPr>
          <w:rFonts w:hint="eastAsia" w:asciiTheme="minorEastAsia" w:hAnsiTheme="minorEastAsia" w:eastAsiaTheme="minorEastAsia" w:cstheme="minorEastAsia"/>
          <w:spacing w:val="-6"/>
          <w:sz w:val="24"/>
        </w:rPr>
        <w:t>。如得分相同的，按投标报价由低到高顺序</w:t>
      </w:r>
      <w:r>
        <w:rPr>
          <w:rFonts w:hint="eastAsia" w:asciiTheme="minorEastAsia" w:hAnsiTheme="minorEastAsia" w:eastAsiaTheme="minorEastAsia" w:cstheme="minorEastAsia"/>
          <w:sz w:val="24"/>
        </w:rPr>
        <w:t>推荐成交人。</w:t>
      </w:r>
    </w:p>
    <w:tbl>
      <w:tblPr>
        <w:tblStyle w:val="13"/>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07"/>
        <w:gridCol w:w="693"/>
        <w:gridCol w:w="412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jc w:val="center"/>
              <w:rPr>
                <w:rFonts w:ascii="宋体" w:cs="宋体"/>
              </w:rPr>
            </w:pPr>
            <w:r>
              <w:rPr>
                <w:rFonts w:hint="eastAsia" w:ascii="宋体" w:hAnsi="宋体" w:cs="宋体"/>
              </w:rPr>
              <w:t>序号</w:t>
            </w:r>
          </w:p>
        </w:tc>
        <w:tc>
          <w:tcPr>
            <w:tcW w:w="1207" w:type="dxa"/>
            <w:vAlign w:val="center"/>
          </w:tcPr>
          <w:p>
            <w:pPr>
              <w:jc w:val="center"/>
              <w:rPr>
                <w:rFonts w:ascii="宋体" w:cs="宋体"/>
              </w:rPr>
            </w:pPr>
            <w:r>
              <w:rPr>
                <w:rFonts w:hint="eastAsia" w:ascii="宋体" w:hAnsi="宋体" w:cs="宋体"/>
              </w:rPr>
              <w:t>评审因素</w:t>
            </w:r>
          </w:p>
        </w:tc>
        <w:tc>
          <w:tcPr>
            <w:tcW w:w="693" w:type="dxa"/>
            <w:vAlign w:val="center"/>
          </w:tcPr>
          <w:p>
            <w:pPr>
              <w:jc w:val="center"/>
              <w:rPr>
                <w:rFonts w:ascii="宋体" w:cs="宋体"/>
              </w:rPr>
            </w:pPr>
            <w:r>
              <w:rPr>
                <w:rFonts w:hint="eastAsia" w:ascii="宋体" w:hAnsi="宋体" w:cs="宋体"/>
              </w:rPr>
              <w:t>分值</w:t>
            </w:r>
          </w:p>
        </w:tc>
        <w:tc>
          <w:tcPr>
            <w:tcW w:w="4129" w:type="dxa"/>
            <w:vAlign w:val="center"/>
          </w:tcPr>
          <w:p>
            <w:pPr>
              <w:jc w:val="center"/>
              <w:rPr>
                <w:rFonts w:ascii="宋体" w:cs="宋体"/>
                <w:color w:val="000000" w:themeColor="text1"/>
                <w14:textFill>
                  <w14:solidFill>
                    <w14:schemeClr w14:val="tx1"/>
                  </w14:solidFill>
                </w14:textFill>
              </w:rPr>
            </w:pPr>
            <w:r>
              <w:rPr>
                <w:rFonts w:hint="eastAsia" w:ascii="宋体" w:hAnsi="宋体" w:cs="宋体"/>
              </w:rPr>
              <w:t>评分标准</w:t>
            </w:r>
          </w:p>
        </w:tc>
        <w:tc>
          <w:tcPr>
            <w:tcW w:w="1925" w:type="dxa"/>
            <w:vAlign w:val="center"/>
          </w:tcPr>
          <w:p>
            <w:pPr>
              <w:jc w:val="center"/>
              <w:rPr>
                <w:rFonts w:ascii="宋体" w:cs="宋体"/>
              </w:rPr>
            </w:pPr>
            <w:r>
              <w:rPr>
                <w:rFonts w:hint="eastAsia" w:ascii="宋体" w:hAnsi="宋体" w:cs="宋体"/>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6" w:type="dxa"/>
            <w:gridSpan w:val="5"/>
            <w:vAlign w:val="center"/>
          </w:tcPr>
          <w:p>
            <w:pPr>
              <w:rPr>
                <w:rFonts w:ascii="宋体" w:cs="宋体"/>
                <w:color w:val="000000"/>
              </w:rPr>
            </w:pPr>
            <w:r>
              <w:rPr>
                <w:rFonts w:hint="eastAsia" w:ascii="宋体" w:hAnsi="宋体" w:cs="宋体"/>
                <w:color w:val="000000"/>
              </w:rPr>
              <w:t>一、投标报价（</w:t>
            </w:r>
            <w:r>
              <w:rPr>
                <w:rFonts w:hint="eastAsia" w:ascii="宋体" w:hAnsi="宋体" w:cs="宋体"/>
                <w:color w:val="000000"/>
                <w:lang w:val="en-US" w:eastAsia="zh-CN"/>
              </w:rPr>
              <w:t>7</w:t>
            </w:r>
            <w:r>
              <w:rPr>
                <w:rFonts w:ascii="宋体" w:hAnsi="宋体" w:cs="宋体"/>
                <w:color w:val="000000"/>
              </w:rPr>
              <w:t>0</w:t>
            </w:r>
            <w:r>
              <w:rPr>
                <w:rFonts w:hint="eastAsia" w:ascii="宋体" w:hAnsi="宋体" w:cs="宋体"/>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center"/>
          </w:tcPr>
          <w:p>
            <w:pPr>
              <w:rPr>
                <w:rFonts w:ascii="宋体" w:hAnsi="宋体" w:cs="宋体"/>
                <w:color w:val="000000"/>
              </w:rPr>
            </w:pPr>
            <w:r>
              <w:rPr>
                <w:rFonts w:ascii="宋体" w:hAnsi="宋体" w:cs="宋体"/>
                <w:color w:val="000000"/>
              </w:rPr>
              <w:t>1</w:t>
            </w:r>
          </w:p>
        </w:tc>
        <w:tc>
          <w:tcPr>
            <w:tcW w:w="1207" w:type="dxa"/>
            <w:vAlign w:val="center"/>
          </w:tcPr>
          <w:p>
            <w:pPr>
              <w:rPr>
                <w:rFonts w:ascii="宋体" w:cs="宋体"/>
                <w:color w:val="000000"/>
              </w:rPr>
            </w:pPr>
            <w:r>
              <w:rPr>
                <w:rFonts w:hint="eastAsia" w:ascii="宋体" w:hAnsi="宋体" w:cs="宋体"/>
                <w:color w:val="000000"/>
              </w:rPr>
              <w:t>报价（供应商最终报价）</w:t>
            </w:r>
          </w:p>
        </w:tc>
        <w:tc>
          <w:tcPr>
            <w:tcW w:w="693" w:type="dxa"/>
            <w:vAlign w:val="center"/>
          </w:tcPr>
          <w:p>
            <w:pPr>
              <w:rPr>
                <w:rFonts w:ascii="宋体" w:cs="宋体"/>
                <w:color w:val="000000"/>
              </w:rPr>
            </w:pPr>
            <w:r>
              <w:rPr>
                <w:rFonts w:hint="eastAsia" w:ascii="宋体" w:hAnsi="宋体" w:cs="宋体"/>
                <w:color w:val="000000"/>
                <w:lang w:val="en-US" w:eastAsia="zh-CN"/>
              </w:rPr>
              <w:t>7</w:t>
            </w:r>
            <w:r>
              <w:rPr>
                <w:rFonts w:ascii="宋体" w:hAnsi="宋体" w:cs="宋体"/>
                <w:color w:val="000000"/>
              </w:rPr>
              <w:t>0</w:t>
            </w:r>
            <w:r>
              <w:rPr>
                <w:rFonts w:hint="eastAsia" w:ascii="宋体" w:hAnsi="宋体" w:cs="宋体"/>
                <w:color w:val="000000"/>
              </w:rPr>
              <w:t>分</w:t>
            </w:r>
          </w:p>
        </w:tc>
        <w:tc>
          <w:tcPr>
            <w:tcW w:w="4129" w:type="dxa"/>
            <w:vAlign w:val="center"/>
          </w:tcPr>
          <w:p>
            <w:pPr>
              <w:rPr>
                <w:rFonts w:ascii="宋体" w:cs="宋体"/>
                <w:color w:val="000000"/>
              </w:rPr>
            </w:pPr>
            <w:r>
              <w:rPr>
                <w:rFonts w:hint="eastAsia" w:ascii="宋体" w:hAnsi="宋体" w:cs="宋体"/>
                <w:color w:val="000000"/>
              </w:rPr>
              <w:t>第一步：最终报价在采购预算价格以下的，为有效报价。超出此范围的报价为无效报价。无效报价的响应文件不进行评审，也不成交。</w:t>
            </w:r>
          </w:p>
          <w:p>
            <w:pPr>
              <w:rPr>
                <w:rFonts w:ascii="宋体" w:cs="宋体"/>
                <w:color w:val="000000"/>
              </w:rPr>
            </w:pPr>
            <w:r>
              <w:rPr>
                <w:rFonts w:hint="eastAsia" w:ascii="宋体" w:hAnsi="宋体" w:cs="宋体"/>
                <w:color w:val="000000"/>
              </w:rPr>
              <w:t>第二步：所有有效报价的算术平均价</w:t>
            </w:r>
            <w:r>
              <w:rPr>
                <w:rFonts w:ascii="宋体" w:hAnsi="宋体" w:cs="宋体"/>
                <w:color w:val="000000"/>
              </w:rPr>
              <w:t>*0.98</w:t>
            </w:r>
            <w:r>
              <w:rPr>
                <w:rFonts w:hint="eastAsia" w:ascii="宋体" w:hAnsi="宋体" w:cs="宋体"/>
                <w:color w:val="000000"/>
              </w:rPr>
              <w:t>为基准报价，其价格分为满分。特别说明：如果某供应商的磋商报价中有漏项，且该供应商成交，则其成交价不能调整，即漏项部分的价格需该供应商自行消化。</w:t>
            </w:r>
          </w:p>
          <w:p>
            <w:pPr>
              <w:rPr>
                <w:rFonts w:ascii="宋体" w:cs="宋体"/>
                <w:color w:val="000000"/>
              </w:rPr>
            </w:pPr>
            <w:r>
              <w:rPr>
                <w:rFonts w:hint="eastAsia" w:ascii="宋体" w:hAnsi="宋体" w:cs="宋体"/>
                <w:color w:val="000000"/>
              </w:rPr>
              <w:t>第三步：将所有有效报价与基准报价相比较：等于或小于基准报价的得</w:t>
            </w:r>
            <w:r>
              <w:rPr>
                <w:rFonts w:ascii="宋体" w:hAnsi="宋体" w:cs="宋体"/>
                <w:color w:val="000000"/>
              </w:rPr>
              <w:t xml:space="preserve"> 30 </w:t>
            </w:r>
            <w:r>
              <w:rPr>
                <w:rFonts w:hint="eastAsia" w:ascii="宋体" w:hAnsi="宋体" w:cs="宋体"/>
                <w:color w:val="000000"/>
              </w:rPr>
              <w:t>分，其他供应商的价格分按照下列公式计算（计算结果四舍五入保留两位小数）：</w:t>
            </w:r>
          </w:p>
          <w:p>
            <w:pPr>
              <w:rPr>
                <w:rFonts w:ascii="宋体" w:cs="宋体"/>
                <w:color w:val="000000"/>
              </w:rPr>
            </w:pPr>
            <w:r>
              <w:rPr>
                <w:rFonts w:hint="eastAsia" w:ascii="宋体" w:hAnsi="宋体" w:cs="宋体"/>
                <w:color w:val="000000"/>
              </w:rPr>
              <w:t>磋商报价得分</w:t>
            </w:r>
            <w:r>
              <w:rPr>
                <w:rFonts w:ascii="宋体" w:hAnsi="宋体" w:cs="宋体"/>
                <w:color w:val="000000"/>
              </w:rPr>
              <w:t>=</w:t>
            </w:r>
            <w:r>
              <w:rPr>
                <w:rFonts w:hint="eastAsia" w:ascii="宋体" w:hAnsi="宋体" w:cs="宋体"/>
                <w:color w:val="000000"/>
              </w:rPr>
              <w:t>（磋商基准价</w:t>
            </w:r>
            <w:r>
              <w:rPr>
                <w:rFonts w:ascii="宋体" w:hAnsi="宋体" w:cs="宋体"/>
                <w:color w:val="000000"/>
              </w:rPr>
              <w:t>/</w:t>
            </w:r>
            <w:r>
              <w:rPr>
                <w:rFonts w:hint="eastAsia" w:ascii="宋体" w:hAnsi="宋体" w:cs="宋体"/>
                <w:color w:val="000000"/>
              </w:rPr>
              <w:t>最后磋商报价）×价格权值（</w:t>
            </w:r>
            <w:r>
              <w:rPr>
                <w:rFonts w:hint="eastAsia" w:ascii="宋体" w:hAnsi="宋体" w:cs="宋体"/>
                <w:color w:val="000000"/>
                <w:lang w:val="en-US" w:eastAsia="zh-CN"/>
              </w:rPr>
              <w:t>7</w:t>
            </w:r>
            <w:r>
              <w:rPr>
                <w:rFonts w:ascii="宋体" w:hAnsi="宋体" w:cs="宋体"/>
                <w:color w:val="000000"/>
              </w:rPr>
              <w:t>0</w:t>
            </w:r>
            <w:r>
              <w:rPr>
                <w:rFonts w:hint="eastAsia" w:ascii="宋体" w:hAnsi="宋体" w:cs="宋体"/>
                <w:color w:val="000000"/>
              </w:rPr>
              <w:t>）</w:t>
            </w:r>
            <w:r>
              <w:rPr>
                <w:rFonts w:ascii="宋体" w:hAnsi="宋体" w:cs="宋体"/>
                <w:color w:val="000000"/>
              </w:rPr>
              <w:t>%</w:t>
            </w:r>
            <w:r>
              <w:rPr>
                <w:rFonts w:hint="eastAsia" w:ascii="宋体" w:hAnsi="宋体" w:cs="宋体"/>
                <w:color w:val="000000"/>
              </w:rPr>
              <w:t>×</w:t>
            </w:r>
            <w:r>
              <w:rPr>
                <w:rFonts w:ascii="宋体" w:hAnsi="宋体" w:cs="宋体"/>
                <w:color w:val="000000"/>
              </w:rPr>
              <w:t>100</w:t>
            </w:r>
            <w:r>
              <w:rPr>
                <w:rFonts w:hint="eastAsia" w:ascii="宋体" w:hAnsi="宋体" w:cs="宋体"/>
                <w:color w:val="000000"/>
              </w:rPr>
              <w:t>。</w:t>
            </w:r>
          </w:p>
        </w:tc>
        <w:tc>
          <w:tcPr>
            <w:tcW w:w="1925" w:type="dxa"/>
            <w:vAlign w:val="center"/>
          </w:tcPr>
          <w:p>
            <w:pPr>
              <w:rPr>
                <w:rFonts w:ascii="宋体" w:cs="宋体"/>
                <w:color w:val="000000"/>
              </w:rPr>
            </w:pPr>
            <w:r>
              <w:rPr>
                <w:rFonts w:hint="eastAsia" w:ascii="宋体" w:hAnsi="宋体" w:cs="宋体"/>
                <w:color w:val="000000"/>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16" w:type="dxa"/>
            <w:gridSpan w:val="5"/>
            <w:vAlign w:val="center"/>
          </w:tcPr>
          <w:p>
            <w:pPr>
              <w:rPr>
                <w:rFonts w:ascii="宋体" w:hAnsi="宋体" w:cs="宋体"/>
                <w:color w:val="000000"/>
              </w:rPr>
            </w:pPr>
            <w:r>
              <w:rPr>
                <w:rFonts w:hint="eastAsia" w:ascii="宋体" w:hAnsi="宋体" w:cs="宋体"/>
                <w:color w:val="000000"/>
              </w:rPr>
              <w:t>二、供应商综合实力、技术（</w:t>
            </w:r>
            <w:r>
              <w:rPr>
                <w:rFonts w:hint="eastAsia" w:ascii="宋体" w:hAnsi="宋体" w:cs="宋体"/>
                <w:color w:val="000000"/>
                <w:lang w:val="en-US" w:eastAsia="zh-CN"/>
              </w:rPr>
              <w:t>3</w:t>
            </w:r>
            <w:r>
              <w:rPr>
                <w:rFonts w:ascii="宋体" w:hAnsi="宋体" w:cs="宋体"/>
                <w:color w:val="000000"/>
              </w:rPr>
              <w:t>0</w:t>
            </w:r>
            <w:r>
              <w:rPr>
                <w:rFonts w:hint="eastAsia" w:ascii="宋体" w:hAnsi="宋体" w:cs="宋体"/>
                <w:color w:val="000000"/>
              </w:rPr>
              <w:t>分）</w:t>
            </w:r>
            <w:r>
              <w:rPr>
                <w:rFonts w:ascii="宋体" w:hAnsi="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restart"/>
            <w:vAlign w:val="center"/>
          </w:tcPr>
          <w:p>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p>
        </w:tc>
        <w:tc>
          <w:tcPr>
            <w:tcW w:w="1207" w:type="dxa"/>
            <w:vMerge w:val="restart"/>
            <w:vAlign w:val="center"/>
          </w:tcPr>
          <w:p>
            <w:pPr>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项目实施方案和管理措施</w:t>
            </w:r>
          </w:p>
        </w:tc>
        <w:tc>
          <w:tcPr>
            <w:tcW w:w="693" w:type="dxa"/>
            <w:vMerge w:val="restart"/>
            <w:vAlign w:val="center"/>
          </w:tcPr>
          <w:p>
            <w:pPr>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30分</w:t>
            </w:r>
          </w:p>
        </w:tc>
        <w:tc>
          <w:tcPr>
            <w:tcW w:w="4129" w:type="dxa"/>
            <w:vAlign w:val="center"/>
          </w:tcPr>
          <w:p>
            <w:pPr>
              <w:rPr>
                <w:rFonts w:ascii="宋体" w:cs="宋体"/>
                <w:color w:val="FF0000"/>
              </w:rPr>
            </w:pPr>
            <w:r>
              <w:rPr>
                <w:rFonts w:hint="eastAsia" w:ascii="宋体" w:hAnsi="宋体" w:cs="宋体"/>
                <w:kern w:val="0"/>
                <w:szCs w:val="21"/>
              </w:rPr>
              <w:t>根据投标人为</w:t>
            </w:r>
            <w:r>
              <w:rPr>
                <w:rFonts w:hint="eastAsia" w:ascii="宋体" w:hAnsi="宋体" w:cs="宋体"/>
                <w:bCs/>
                <w:kern w:val="0"/>
                <w:szCs w:val="21"/>
              </w:rPr>
              <w:t>定点工程项目制定的总体实施方案、成立的管理机构和制定的管理措施、等进行打分</w:t>
            </w:r>
            <w:r>
              <w:rPr>
                <w:rFonts w:hint="eastAsia" w:ascii="宋体" w:hAnsi="宋体" w:cs="宋体"/>
                <w:kern w:val="0"/>
              </w:rPr>
              <w:t>：方案完善，措施、内容完善、具体的程度得</w:t>
            </w:r>
            <w:r>
              <w:rPr>
                <w:rFonts w:hint="eastAsia" w:ascii="宋体" w:hAnsi="宋体" w:cs="宋体"/>
                <w:kern w:val="0"/>
                <w:lang w:val="en-US" w:eastAsia="zh-CN"/>
              </w:rPr>
              <w:t>5</w:t>
            </w:r>
            <w:r>
              <w:rPr>
                <w:rFonts w:hint="eastAsia" w:ascii="宋体" w:hAnsi="宋体" w:cs="宋体"/>
                <w:kern w:val="0"/>
              </w:rPr>
              <w:t>-1</w:t>
            </w:r>
            <w:r>
              <w:rPr>
                <w:rFonts w:hint="eastAsia" w:ascii="宋体" w:hAnsi="宋体" w:cs="宋体"/>
                <w:kern w:val="0"/>
                <w:lang w:val="en-US" w:eastAsia="zh-CN"/>
              </w:rPr>
              <w:t>0</w:t>
            </w:r>
            <w:r>
              <w:rPr>
                <w:rFonts w:hint="eastAsia" w:ascii="宋体" w:hAnsi="宋体" w:cs="宋体"/>
                <w:kern w:val="0"/>
              </w:rPr>
              <w:t>（含）分；方措施等案基本完整，能对主要细节做出安排得</w:t>
            </w:r>
            <w:r>
              <w:rPr>
                <w:rFonts w:hint="eastAsia" w:ascii="宋体" w:hAnsi="宋体" w:cs="宋体"/>
                <w:kern w:val="0"/>
                <w:lang w:val="en-US" w:eastAsia="zh-CN"/>
              </w:rPr>
              <w:t>3</w:t>
            </w:r>
            <w:r>
              <w:rPr>
                <w:rFonts w:hint="eastAsia" w:ascii="宋体" w:hAnsi="宋体" w:cs="宋体"/>
                <w:kern w:val="0"/>
              </w:rPr>
              <w:t>-</w:t>
            </w:r>
            <w:r>
              <w:rPr>
                <w:rFonts w:hint="eastAsia" w:ascii="宋体" w:hAnsi="宋体" w:cs="宋体"/>
                <w:kern w:val="0"/>
                <w:lang w:val="en-US" w:eastAsia="zh-CN"/>
              </w:rPr>
              <w:t>5</w:t>
            </w:r>
            <w:r>
              <w:rPr>
                <w:rFonts w:hint="eastAsia" w:ascii="宋体" w:hAnsi="宋体" w:cs="宋体"/>
                <w:kern w:val="0"/>
              </w:rPr>
              <w:t>（含）分；安全管理方案不完善或未做出安排的得0（含）-</w:t>
            </w:r>
            <w:r>
              <w:rPr>
                <w:rFonts w:hint="eastAsia" w:ascii="宋体" w:hAnsi="宋体" w:cs="宋体"/>
                <w:kern w:val="0"/>
                <w:lang w:val="en-US" w:eastAsia="zh-CN"/>
              </w:rPr>
              <w:t>5</w:t>
            </w:r>
            <w:r>
              <w:rPr>
                <w:rFonts w:hint="eastAsia" w:ascii="宋体" w:hAnsi="宋体" w:cs="宋体"/>
                <w:kern w:val="0"/>
              </w:rPr>
              <w:t>（含）分。</w:t>
            </w:r>
          </w:p>
        </w:tc>
        <w:tc>
          <w:tcPr>
            <w:tcW w:w="1925" w:type="dxa"/>
            <w:vAlign w:val="center"/>
          </w:tcPr>
          <w:p>
            <w:pPr>
              <w:rPr>
                <w:rFonts w:ascii="宋体" w:cs="宋体"/>
                <w:color w:val="FF0000"/>
              </w:rPr>
            </w:pPr>
            <w:r>
              <w:rPr>
                <w:rFonts w:hint="eastAsia" w:ascii="宋体" w:hAnsi="宋体"/>
                <w:bCs/>
              </w:rPr>
              <w:t>由各评委按方案及措施的内容分别进行评分，各评委给各投标人评分的算术平均值，即为各投标人该部分的最后得分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Merge w:val="continue"/>
            <w:vAlign w:val="center"/>
          </w:tcPr>
          <w:p>
            <w:pPr>
              <w:rPr>
                <w:rFonts w:ascii="宋体" w:hAnsi="宋体" w:cs="宋体"/>
                <w:color w:val="FF0000"/>
              </w:rPr>
            </w:pPr>
          </w:p>
        </w:tc>
        <w:tc>
          <w:tcPr>
            <w:tcW w:w="1207" w:type="dxa"/>
            <w:vMerge w:val="continue"/>
            <w:vAlign w:val="center"/>
          </w:tcPr>
          <w:p>
            <w:pPr>
              <w:rPr>
                <w:rFonts w:ascii="宋体" w:cs="宋体"/>
                <w:color w:val="FF0000"/>
              </w:rPr>
            </w:pPr>
          </w:p>
        </w:tc>
        <w:tc>
          <w:tcPr>
            <w:tcW w:w="693" w:type="dxa"/>
            <w:vMerge w:val="continue"/>
            <w:vAlign w:val="center"/>
          </w:tcPr>
          <w:p>
            <w:pPr>
              <w:rPr>
                <w:rFonts w:ascii="宋体" w:cs="宋体"/>
                <w:color w:val="FF0000"/>
              </w:rPr>
            </w:pPr>
          </w:p>
        </w:tc>
        <w:tc>
          <w:tcPr>
            <w:tcW w:w="4129" w:type="dxa"/>
            <w:vAlign w:val="center"/>
          </w:tcPr>
          <w:p>
            <w:pPr>
              <w:rPr>
                <w:rFonts w:ascii="宋体" w:cs="宋体"/>
                <w:color w:val="FF0000"/>
              </w:rPr>
            </w:pPr>
            <w:r>
              <w:rPr>
                <w:rFonts w:hint="eastAsia" w:ascii="宋体" w:hAnsi="宋体" w:cs="宋体"/>
                <w:kern w:val="0"/>
                <w:szCs w:val="21"/>
              </w:rPr>
              <w:t>根据投标人服务承诺情况，包括但不限于工期保证措施、质量保证措施、安全文明保证措施、保证环保检测合格措施、对民工工资与材料款发放措施等进行打分。服务承诺完善、内容详尽、细节周全的程度得</w:t>
            </w:r>
            <w:r>
              <w:rPr>
                <w:rFonts w:hint="eastAsia" w:ascii="宋体" w:hAnsi="宋体" w:cs="宋体"/>
                <w:kern w:val="0"/>
                <w:szCs w:val="21"/>
                <w:lang w:val="en-US" w:eastAsia="zh-CN"/>
              </w:rPr>
              <w:t>5</w:t>
            </w:r>
            <w:r>
              <w:rPr>
                <w:rFonts w:hint="eastAsia" w:ascii="宋体" w:hAnsi="宋体" w:cs="宋体"/>
                <w:kern w:val="0"/>
              </w:rPr>
              <w:t>-1</w:t>
            </w:r>
            <w:r>
              <w:rPr>
                <w:rFonts w:hint="eastAsia" w:ascii="宋体" w:hAnsi="宋体" w:cs="宋体"/>
                <w:kern w:val="0"/>
                <w:lang w:val="en-US" w:eastAsia="zh-CN"/>
              </w:rPr>
              <w:t>0</w:t>
            </w:r>
            <w:r>
              <w:rPr>
                <w:rFonts w:hint="eastAsia" w:ascii="宋体" w:hAnsi="宋体" w:cs="宋体"/>
                <w:kern w:val="0"/>
              </w:rPr>
              <w:t>（含）</w:t>
            </w:r>
            <w:r>
              <w:rPr>
                <w:rFonts w:hint="eastAsia" w:ascii="宋体" w:hAnsi="宋体" w:cs="宋体"/>
                <w:kern w:val="0"/>
                <w:szCs w:val="21"/>
              </w:rPr>
              <w:t>分；服务承诺基本完善、内容基本详细得</w:t>
            </w:r>
            <w:r>
              <w:rPr>
                <w:rFonts w:hint="eastAsia" w:ascii="宋体" w:hAnsi="宋体" w:cs="宋体"/>
                <w:kern w:val="0"/>
                <w:szCs w:val="21"/>
                <w:lang w:val="en-US" w:eastAsia="zh-CN"/>
              </w:rPr>
              <w:t>3</w:t>
            </w:r>
            <w:r>
              <w:rPr>
                <w:rFonts w:hint="eastAsia" w:ascii="宋体" w:hAnsi="宋体" w:cs="宋体"/>
                <w:kern w:val="0"/>
              </w:rPr>
              <w:t>-</w:t>
            </w:r>
            <w:r>
              <w:rPr>
                <w:rFonts w:hint="eastAsia" w:ascii="宋体" w:hAnsi="宋体" w:cs="宋体"/>
                <w:kern w:val="0"/>
                <w:lang w:val="en-US" w:eastAsia="zh-CN"/>
              </w:rPr>
              <w:t>5</w:t>
            </w:r>
            <w:r>
              <w:rPr>
                <w:rFonts w:hint="eastAsia" w:ascii="宋体" w:hAnsi="宋体" w:cs="宋体"/>
                <w:kern w:val="0"/>
              </w:rPr>
              <w:t>（含）</w:t>
            </w:r>
            <w:r>
              <w:rPr>
                <w:rFonts w:hint="eastAsia" w:ascii="宋体" w:hAnsi="宋体" w:cs="宋体"/>
                <w:kern w:val="0"/>
                <w:szCs w:val="21"/>
              </w:rPr>
              <w:t>分；服务承诺不完善或无服务承诺的得</w:t>
            </w:r>
            <w:r>
              <w:rPr>
                <w:rFonts w:hint="eastAsia" w:ascii="宋体" w:hAnsi="宋体" w:cs="宋体"/>
                <w:kern w:val="0"/>
              </w:rPr>
              <w:t>0（含）-</w:t>
            </w:r>
            <w:r>
              <w:rPr>
                <w:rFonts w:hint="eastAsia" w:ascii="宋体" w:hAnsi="宋体" w:cs="宋体"/>
                <w:kern w:val="0"/>
                <w:lang w:val="en-US" w:eastAsia="zh-CN"/>
              </w:rPr>
              <w:t>5</w:t>
            </w:r>
            <w:r>
              <w:rPr>
                <w:rFonts w:hint="eastAsia" w:ascii="宋体" w:hAnsi="宋体" w:cs="宋体"/>
                <w:kern w:val="0"/>
              </w:rPr>
              <w:t>（含）</w:t>
            </w:r>
            <w:r>
              <w:rPr>
                <w:rFonts w:hint="eastAsia" w:ascii="宋体" w:hAnsi="宋体" w:cs="宋体"/>
                <w:kern w:val="0"/>
                <w:szCs w:val="21"/>
              </w:rPr>
              <w:t>分。</w:t>
            </w:r>
          </w:p>
        </w:tc>
        <w:tc>
          <w:tcPr>
            <w:tcW w:w="1925" w:type="dxa"/>
            <w:vAlign w:val="center"/>
          </w:tcPr>
          <w:p>
            <w:pPr>
              <w:rPr>
                <w:rFonts w:ascii="宋体" w:cs="宋体"/>
                <w:color w:val="FF0000"/>
              </w:rPr>
            </w:pPr>
            <w:r>
              <w:rPr>
                <w:rFonts w:hint="eastAsia" w:ascii="宋体" w:hAnsi="宋体"/>
                <w:bCs/>
              </w:rPr>
              <w:t>由各评委按评分细则分别进行评分，各评委给各投标人评分的算术平均值，即为各投标人该部分的最后得分</w:t>
            </w:r>
          </w:p>
        </w:tc>
      </w:tr>
    </w:tbl>
    <w:p>
      <w:pPr>
        <w:pStyle w:val="12"/>
        <w:rPr>
          <w:color w:val="FF0000"/>
        </w:rPr>
      </w:pPr>
    </w:p>
    <w:p>
      <w:pPr>
        <w:tabs>
          <w:tab w:val="left" w:pos="5940"/>
        </w:tabs>
        <w:snapToGrid w:val="0"/>
        <w:spacing w:before="156" w:beforeLines="50"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1、评分细则中要求提供的证明文件及资料等在响应文件中提供复印件，要求“原件核查”的须在投标截止前将相关原件或公证件带至开评标现场并按要求提交评委会核查。</w:t>
      </w:r>
    </w:p>
    <w:p>
      <w:pPr>
        <w:tabs>
          <w:tab w:val="left" w:pos="5940"/>
        </w:tabs>
        <w:snapToGrid w:val="0"/>
        <w:spacing w:before="156" w:beforeLines="50"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2、评审时，供应商未能按以上要求提供相应证明（复印件和原件、公证件）的，不作为评审依据，不得分。</w:t>
      </w:r>
    </w:p>
    <w:p>
      <w:pPr>
        <w:pStyle w:val="6"/>
        <w:spacing w:before="156" w:beforeLines="50" w:line="36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bCs/>
          <w:szCs w:val="24"/>
        </w:rPr>
        <w:t>3、为便于评分，请供应商按评分表样式，逐条列出证明材料所在页码，格式自定。</w:t>
      </w:r>
    </w:p>
    <w:p>
      <w:pPr>
        <w:pStyle w:val="12"/>
        <w:ind w:firstLine="0"/>
        <w:rPr>
          <w:rFonts w:asciiTheme="minorEastAsia" w:hAnsiTheme="minorEastAsia" w:eastAsiaTheme="minorEastAsia" w:cstheme="minorEastAsia"/>
          <w:sz w:val="24"/>
          <w:szCs w:val="24"/>
        </w:rPr>
      </w:pPr>
    </w:p>
    <w:p>
      <w:pPr>
        <w:pStyle w:val="3"/>
        <w:numPr>
          <w:ilvl w:val="0"/>
          <w:numId w:val="0"/>
        </w:numPr>
        <w:tabs>
          <w:tab w:val="left" w:pos="0"/>
        </w:tabs>
        <w:autoSpaceDE w:val="0"/>
        <w:autoSpaceDN w:val="0"/>
        <w:spacing w:before="0" w:line="360" w:lineRule="auto"/>
        <w:ind w:left="851"/>
        <w:rPr>
          <w:rFonts w:ascii="宋体" w:hAnsi="宋体" w:eastAsia="宋体"/>
          <w:sz w:val="28"/>
          <w:szCs w:val="28"/>
        </w:rPr>
      </w:pPr>
      <w:bookmarkStart w:id="78" w:name="_Toc45823536"/>
      <w:r>
        <w:rPr>
          <w:rFonts w:hint="eastAsia" w:ascii="宋体" w:hAnsi="宋体" w:eastAsia="宋体"/>
          <w:sz w:val="28"/>
          <w:szCs w:val="28"/>
        </w:rPr>
        <w:t>第九章  合同主要条款</w:t>
      </w:r>
      <w:bookmarkEnd w:id="78"/>
    </w:p>
    <w:p>
      <w:pPr>
        <w:tabs>
          <w:tab w:val="left" w:pos="0"/>
        </w:tabs>
        <w:adjustRightInd w:val="0"/>
        <w:snapToGrid w:val="0"/>
        <w:spacing w:line="360" w:lineRule="auto"/>
        <w:ind w:left="420"/>
        <w:rPr>
          <w:rFonts w:ascii="宋体" w:hAnsi="宋体"/>
          <w:szCs w:val="21"/>
        </w:rPr>
      </w:pPr>
      <w:bookmarkStart w:id="79" w:name="_Toc296890982"/>
      <w:bookmarkStart w:id="80" w:name="_Toc351203480"/>
      <w:bookmarkStart w:id="81" w:name="_Toc296503025"/>
      <w:bookmarkStart w:id="82" w:name="_Toc351203632"/>
      <w:r>
        <w:rPr>
          <w:rFonts w:hint="eastAsia" w:ascii="宋体" w:hAnsi="宋体"/>
          <w:szCs w:val="21"/>
        </w:rPr>
        <w:t>建设工程施工合同采用合同示范文本(GF-2017-0201)</w:t>
      </w:r>
    </w:p>
    <w:p>
      <w:pPr>
        <w:tabs>
          <w:tab w:val="left" w:pos="0"/>
        </w:tabs>
        <w:adjustRightInd w:val="0"/>
        <w:snapToGrid w:val="0"/>
        <w:spacing w:line="360" w:lineRule="auto"/>
        <w:rPr>
          <w:rFonts w:ascii="宋体" w:hAnsi="宋体"/>
          <w:szCs w:val="21"/>
        </w:rPr>
      </w:pPr>
      <w:r>
        <w:rPr>
          <w:rFonts w:hint="eastAsia" w:ascii="宋体" w:hAnsi="宋体"/>
          <w:szCs w:val="21"/>
        </w:rPr>
        <w:t>（一）协议书</w:t>
      </w:r>
    </w:p>
    <w:p>
      <w:pPr>
        <w:tabs>
          <w:tab w:val="left" w:pos="0"/>
        </w:tabs>
        <w:adjustRightInd w:val="0"/>
        <w:snapToGrid w:val="0"/>
        <w:spacing w:line="360" w:lineRule="auto"/>
        <w:rPr>
          <w:rFonts w:ascii="宋体" w:hAnsi="宋体"/>
          <w:szCs w:val="21"/>
        </w:rPr>
      </w:pPr>
      <w:r>
        <w:rPr>
          <w:rFonts w:hint="eastAsia" w:ascii="宋体" w:hAnsi="宋体"/>
          <w:szCs w:val="21"/>
        </w:rPr>
        <w:t>（二）通用条款</w:t>
      </w:r>
    </w:p>
    <w:p>
      <w:pPr>
        <w:adjustRightInd w:val="0"/>
        <w:snapToGrid w:val="0"/>
        <w:spacing w:after="312" w:afterLines="100" w:line="360" w:lineRule="auto"/>
        <w:rPr>
          <w:rFonts w:ascii="宋体" w:hAnsi="宋体"/>
          <w:szCs w:val="21"/>
        </w:rPr>
      </w:pPr>
      <w:r>
        <w:rPr>
          <w:rFonts w:hint="eastAsia" w:ascii="宋体" w:hAnsi="宋体"/>
          <w:szCs w:val="21"/>
        </w:rPr>
        <w:t>（三）专用条款</w:t>
      </w:r>
    </w:p>
    <w:p>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79"/>
      <w:bookmarkEnd w:id="80"/>
      <w:bookmarkEnd w:id="81"/>
    </w:p>
    <w:p>
      <w:pPr>
        <w:adjustRightInd w:val="0"/>
        <w:snapToGrid w:val="0"/>
        <w:spacing w:line="360" w:lineRule="auto"/>
        <w:rPr>
          <w:rFonts w:ascii="宋体" w:hAnsi="宋体"/>
          <w:b/>
          <w:color w:val="000000"/>
          <w:sz w:val="24"/>
          <w:u w:val="single"/>
        </w:rPr>
      </w:pPr>
      <w:r>
        <w:rPr>
          <w:rFonts w:ascii="宋体" w:hAnsi="宋体"/>
          <w:b/>
          <w:color w:val="000000"/>
          <w:sz w:val="24"/>
        </w:rPr>
        <w:t>发包人（全称）：</w:t>
      </w:r>
      <w:r>
        <w:rPr>
          <w:rFonts w:hint="eastAsia" w:ascii="宋体" w:hAnsi="宋体"/>
          <w:bCs/>
          <w:sz w:val="24"/>
        </w:rPr>
        <w:t>常州市天宁区青龙街道办事处</w:t>
      </w:r>
    </w:p>
    <w:p>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hint="eastAsia" w:ascii="宋体" w:hAnsi="宋体"/>
          <w:b/>
          <w:color w:val="000000"/>
          <w:sz w:val="24"/>
          <w:u w:val="single"/>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项目</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83" w:name="_Toc351203481"/>
      <w:r>
        <w:rPr>
          <w:rFonts w:ascii="宋体" w:hAnsi="宋体"/>
          <w:b/>
          <w:color w:val="000000"/>
          <w:sz w:val="24"/>
        </w:rPr>
        <w:t>一、工程概况</w:t>
      </w:r>
      <w:bookmarkEnd w:id="83"/>
    </w:p>
    <w:p>
      <w:pPr>
        <w:adjustRightInd w:val="0"/>
        <w:snapToGrid w:val="0"/>
        <w:spacing w:line="360" w:lineRule="auto"/>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bCs/>
          <w:sz w:val="24"/>
          <w:u w:val="single"/>
        </w:rPr>
        <w:t xml:space="preserve"> </w:t>
      </w:r>
      <w:r>
        <w:rPr>
          <w:rFonts w:ascii="宋体" w:hAnsi="宋体"/>
          <w:bCs/>
          <w:sz w:val="24"/>
          <w:u w:val="single"/>
        </w:rPr>
        <w:t xml:space="preserve">                   </w:t>
      </w:r>
      <w:r>
        <w:rPr>
          <w:rFonts w:ascii="宋体" w:hAnsi="宋体"/>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5.工程内容：</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color w:val="000000"/>
          <w:sz w:val="24"/>
        </w:rPr>
        <w:t>群体工程应附《</w:t>
      </w:r>
      <w:r>
        <w:rPr>
          <w:rFonts w:ascii="宋体" w:hAnsi="宋体"/>
          <w:color w:val="000000"/>
          <w:sz w:val="24"/>
        </w:rPr>
        <w:t>承包人承揽工程项目一览表</w:t>
      </w:r>
      <w:r>
        <w:rPr>
          <w:rFonts w:hint="eastAsia" w:ascii="宋体" w:hAnsi="宋体"/>
          <w:color w:val="000000"/>
          <w:sz w:val="24"/>
        </w:rPr>
        <w:t>》（附件1）。</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6</w:t>
      </w:r>
      <w:r>
        <w:rPr>
          <w:rFonts w:ascii="宋体" w:hAnsi="宋体"/>
          <w:bCs/>
          <w:color w:val="000000"/>
          <w:sz w:val="24"/>
        </w:rPr>
        <w:t>.工程承包范围：</w:t>
      </w:r>
    </w:p>
    <w:p>
      <w:pPr>
        <w:adjustRightInd w:val="0"/>
        <w:snapToGrid w:val="0"/>
        <w:spacing w:line="360" w:lineRule="auto"/>
        <w:ind w:firstLine="480" w:firstLineChars="200"/>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84" w:name="_Toc351203482"/>
      <w:r>
        <w:rPr>
          <w:rFonts w:ascii="宋体" w:hAnsi="宋体"/>
          <w:b/>
          <w:color w:val="000000"/>
          <w:sz w:val="24"/>
        </w:rPr>
        <w:t>二、合同工期</w:t>
      </w:r>
      <w:bookmarkEnd w:id="84"/>
    </w:p>
    <w:p>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85" w:name="_Toc351203483"/>
      <w:r>
        <w:rPr>
          <w:rFonts w:ascii="宋体" w:hAnsi="宋体"/>
          <w:b/>
          <w:color w:val="000000"/>
          <w:sz w:val="24"/>
        </w:rPr>
        <w:t>三、质量标准</w:t>
      </w:r>
      <w:bookmarkEnd w:id="85"/>
    </w:p>
    <w:p>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hint="eastAsia" w:ascii="宋体" w:hAnsi="宋体"/>
          <w:color w:val="000000"/>
          <w:sz w:val="24"/>
          <w:u w:val="single"/>
        </w:rPr>
        <w:t>合格</w:t>
      </w:r>
      <w:r>
        <w:rPr>
          <w:rFonts w:ascii="宋体" w:hAnsi="宋体"/>
          <w:color w:val="000000"/>
          <w:sz w:val="24"/>
        </w:rPr>
        <w:t>标准。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86" w:name="_Toc351203484"/>
      <w:r>
        <w:rPr>
          <w:rFonts w:ascii="宋体" w:hAnsi="宋体"/>
          <w:b/>
          <w:color w:val="000000"/>
          <w:sz w:val="24"/>
        </w:rPr>
        <w:t>四、签约合同价与合同价格形式</w:t>
      </w:r>
      <w:bookmarkEnd w:id="86"/>
      <w:r>
        <w:rPr>
          <w:rFonts w:ascii="宋体" w:hAnsi="宋体"/>
          <w:b/>
          <w:color w:val="000000"/>
          <w:sz w:val="24"/>
        </w:rPr>
        <w:tab/>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1.签约合同价为</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2.合同价格形式：</w:t>
      </w:r>
      <w:r>
        <w:rPr>
          <w:rFonts w:hint="eastAsia" w:ascii="宋体" w:hAnsi="宋体" w:cs="MingLiU_HKSCS"/>
          <w:color w:val="000000" w:themeColor="text1"/>
          <w:sz w:val="24"/>
          <w:u w:val="single"/>
          <w14:textFill>
            <w14:solidFill>
              <w14:schemeClr w14:val="tx1"/>
            </w14:solidFill>
          </w14:textFill>
        </w:rPr>
        <w:t xml:space="preserve"> 固定单价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MingLiU_HKSCS"/>
          <w:color w:val="000000" w:themeColor="text1"/>
          <w:sz w:val="24"/>
          <w:u w:val="single"/>
          <w14:textFill>
            <w14:solidFill>
              <w14:schemeClr w14:val="tx1"/>
            </w14:solidFill>
          </w14:textFill>
        </w:rPr>
        <w:t xml:space="preserve"> </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87" w:name="_Toc351203485"/>
      <w:r>
        <w:rPr>
          <w:rFonts w:ascii="宋体" w:hAnsi="宋体"/>
          <w:b/>
          <w:color w:val="000000"/>
          <w:sz w:val="24"/>
        </w:rPr>
        <w:t>五、</w:t>
      </w:r>
      <w:bookmarkEnd w:id="87"/>
      <w:r>
        <w:rPr>
          <w:rFonts w:ascii="宋体" w:hAnsi="宋体"/>
          <w:b/>
          <w:color w:val="000000"/>
          <w:sz w:val="24"/>
        </w:rPr>
        <w:t>项目经理</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88" w:name="_Toc351203486"/>
      <w:r>
        <w:rPr>
          <w:rFonts w:ascii="宋体" w:hAnsi="宋体"/>
          <w:b/>
          <w:color w:val="000000"/>
          <w:sz w:val="24"/>
        </w:rPr>
        <w:t>六、合同文件构成</w:t>
      </w:r>
      <w:bookmarkEnd w:id="88"/>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（1）中标通知书（如果有）；</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（6）图纸；</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（7）已标价工程量清单或预算书；</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（8）其他合同文件。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89" w:name="_Toc351203487"/>
      <w:r>
        <w:rPr>
          <w:rFonts w:ascii="宋体" w:hAnsi="宋体"/>
          <w:b/>
          <w:color w:val="000000"/>
          <w:sz w:val="24"/>
        </w:rPr>
        <w:t>七、承诺</w:t>
      </w:r>
      <w:bookmarkEnd w:id="89"/>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adjustRightInd w:val="0"/>
        <w:snapToGrid w:val="0"/>
        <w:spacing w:line="360" w:lineRule="auto"/>
        <w:rPr>
          <w:rFonts w:ascii="宋体" w:hAnsi="宋体"/>
          <w:bCs/>
          <w:color w:val="000000"/>
          <w:sz w:val="24"/>
        </w:rPr>
      </w:pPr>
      <w:bookmarkStart w:id="90" w:name="_Toc351203488"/>
      <w:r>
        <w:rPr>
          <w:rFonts w:hint="eastAsia" w:ascii="宋体" w:hAnsi="宋体"/>
          <w:b/>
          <w:color w:val="000000"/>
          <w:sz w:val="24"/>
        </w:rPr>
        <w:t xml:space="preserve">    </w:t>
      </w:r>
      <w:r>
        <w:rPr>
          <w:rFonts w:ascii="宋体" w:hAnsi="宋体"/>
          <w:b/>
          <w:color w:val="000000"/>
          <w:sz w:val="24"/>
        </w:rPr>
        <w:t>八、词语含义</w:t>
      </w:r>
      <w:bookmarkEnd w:id="90"/>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91" w:name="_Toc351203489"/>
      <w:r>
        <w:rPr>
          <w:rFonts w:ascii="宋体" w:hAnsi="宋体"/>
          <w:b/>
          <w:color w:val="000000"/>
          <w:sz w:val="24"/>
        </w:rPr>
        <w:t>九、签订时间</w:t>
      </w:r>
      <w:bookmarkEnd w:id="91"/>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92" w:name="_Toc351203490"/>
      <w:r>
        <w:rPr>
          <w:rFonts w:ascii="宋体" w:hAnsi="宋体"/>
          <w:b/>
          <w:color w:val="000000"/>
          <w:sz w:val="24"/>
        </w:rPr>
        <w:t>十、签订地点</w:t>
      </w:r>
      <w:bookmarkEnd w:id="92"/>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常州市天宁区青龙街道办事处签订</w:t>
      </w:r>
      <w:r>
        <w:rPr>
          <w:rFonts w:ascii="宋体" w:hAnsi="宋体"/>
          <w:bCs/>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3" w:name="_Toc351203491"/>
      <w:r>
        <w:rPr>
          <w:rFonts w:ascii="宋体" w:hAnsi="宋体"/>
          <w:b/>
          <w:color w:val="000000"/>
          <w:sz w:val="24"/>
        </w:rPr>
        <w:t>十一、补充协议</w:t>
      </w:r>
      <w:bookmarkEnd w:id="93"/>
    </w:p>
    <w:p>
      <w:pPr>
        <w:adjustRightInd w:val="0"/>
        <w:snapToGrid w:val="0"/>
        <w:spacing w:line="360" w:lineRule="auto"/>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4" w:name="_Toc351203492"/>
      <w:r>
        <w:rPr>
          <w:rFonts w:ascii="宋体" w:hAnsi="宋体"/>
          <w:b/>
          <w:color w:val="000000"/>
          <w:sz w:val="24"/>
        </w:rPr>
        <w:t>十二、合同生效</w:t>
      </w:r>
      <w:bookmarkEnd w:id="94"/>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hint="eastAsia" w:ascii="宋体" w:hAnsi="宋体"/>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95" w:name="_Toc351203493"/>
      <w:r>
        <w:rPr>
          <w:rFonts w:ascii="宋体" w:hAnsi="宋体"/>
          <w:b/>
          <w:color w:val="000000"/>
          <w:sz w:val="24"/>
        </w:rPr>
        <w:t>十三、合同份数</w:t>
      </w:r>
      <w:bookmarkEnd w:id="95"/>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hint="eastAsia" w:ascii="宋体" w:hAnsi="宋体"/>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r>
        <w:rPr>
          <w:rFonts w:hint="eastAsia" w:ascii="宋体" w:hAnsi="宋体"/>
          <w:bCs/>
          <w:color w:val="000000"/>
          <w:sz w:val="24"/>
          <w:u w:val="single"/>
        </w:rPr>
        <w:t xml:space="preserve">肆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hint="eastAsia" w:ascii="宋体" w:hAnsi="宋体"/>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ind w:firstLine="480" w:firstLineChars="200"/>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adjustRightInd w:val="0"/>
        <w:snapToGrid w:val="0"/>
        <w:spacing w:line="360" w:lineRule="auto"/>
        <w:rPr>
          <w:rFonts w:ascii="宋体" w:hAnsi="宋体"/>
          <w:color w:val="000000"/>
          <w:sz w:val="24"/>
          <w:u w:val="single"/>
        </w:rPr>
      </w:pPr>
      <w:r>
        <w:rPr>
          <w:rFonts w:hint="eastAsia" w:ascii="宋体" w:hAnsi="宋体"/>
          <w:color w:val="000000"/>
          <w:sz w:val="24"/>
        </w:rPr>
        <w:t xml:space="preserve">                                 </w:t>
      </w:r>
    </w:p>
    <w:p>
      <w:pPr>
        <w:adjustRightInd w:val="0"/>
        <w:snapToGrid w:val="0"/>
        <w:spacing w:line="360" w:lineRule="auto"/>
        <w:rPr>
          <w:rFonts w:ascii="宋体" w:hAnsi="宋体"/>
          <w:color w:val="000000"/>
          <w:sz w:val="24"/>
        </w:rPr>
      </w:pPr>
      <w:r>
        <w:rPr>
          <w:rFonts w:hint="eastAsia" w:ascii="宋体" w:hAnsi="宋体"/>
          <w:color w:val="000000"/>
          <w:sz w:val="24"/>
        </w:rPr>
        <w:t>法定代表人或其委托代理人：                  法定代表人或其委托代理人：</w:t>
      </w:r>
    </w:p>
    <w:p>
      <w:pPr>
        <w:adjustRightInd w:val="0"/>
        <w:snapToGrid w:val="0"/>
        <w:spacing w:line="360" w:lineRule="auto"/>
        <w:rPr>
          <w:rFonts w:ascii="宋体" w:hAnsi="宋体"/>
          <w:color w:val="000000"/>
          <w:sz w:val="24"/>
        </w:rPr>
      </w:pPr>
      <w:r>
        <w:rPr>
          <w:rFonts w:hint="eastAsia" w:ascii="宋体" w:hAnsi="宋体"/>
          <w:color w:val="000000"/>
          <w:sz w:val="24"/>
        </w:rPr>
        <w:t>（签字）                                    （签字）</w:t>
      </w:r>
    </w:p>
    <w:p>
      <w:pPr>
        <w:adjustRightInd w:val="0"/>
        <w:snapToGrid w:val="0"/>
        <w:spacing w:line="360" w:lineRule="auto"/>
        <w:rPr>
          <w:rFonts w:ascii="宋体" w:hAnsi="宋体"/>
          <w:color w:val="000000"/>
          <w:sz w:val="24"/>
          <w:u w:val="single"/>
        </w:rPr>
      </w:pPr>
    </w:p>
    <w:p>
      <w:pPr>
        <w:tabs>
          <w:tab w:val="left" w:pos="4410"/>
        </w:tabs>
        <w:adjustRightInd w:val="0"/>
        <w:snapToGrid w:val="0"/>
        <w:spacing w:line="360" w:lineRule="auto"/>
        <w:rPr>
          <w:rFonts w:ascii="宋体" w:hAnsi="宋体"/>
          <w:color w:val="000000"/>
          <w:sz w:val="24"/>
        </w:rPr>
      </w:pPr>
      <w:r>
        <w:rPr>
          <w:rFonts w:hint="eastAsia" w:ascii="宋体" w:hAnsi="宋体"/>
          <w:color w:val="000000"/>
          <w:sz w:val="24"/>
        </w:rPr>
        <w:t>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 xml:space="preserve"> 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adjustRightInd w:val="0"/>
        <w:snapToGrid w:val="0"/>
        <w:spacing w:line="360" w:lineRule="auto"/>
        <w:jc w:val="center"/>
        <w:rPr>
          <w:rFonts w:ascii="宋体" w:hAnsi="宋体"/>
          <w:sz w:val="32"/>
          <w:szCs w:val="32"/>
        </w:rPr>
      </w:pPr>
      <w:bookmarkStart w:id="96" w:name="_Toc351203494"/>
    </w:p>
    <w:p>
      <w:pPr>
        <w:adjustRightInd w:val="0"/>
        <w:snapToGrid w:val="0"/>
        <w:spacing w:line="360" w:lineRule="auto"/>
        <w:jc w:val="center"/>
        <w:rPr>
          <w:rFonts w:ascii="宋体" w:hAnsi="宋体"/>
          <w:sz w:val="32"/>
          <w:szCs w:val="32"/>
        </w:rPr>
      </w:pPr>
    </w:p>
    <w:p>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96"/>
    </w:p>
    <w:p>
      <w:pPr>
        <w:adjustRightInd w:val="0"/>
        <w:snapToGrid w:val="0"/>
        <w:spacing w:line="360" w:lineRule="auto"/>
        <w:ind w:firstLine="480" w:firstLineChars="200"/>
        <w:jc w:val="left"/>
        <w:rPr>
          <w:rFonts w:ascii="宋体" w:hAnsi="宋体"/>
          <w:color w:val="000000"/>
          <w:kern w:val="0"/>
          <w:sz w:val="24"/>
        </w:rPr>
      </w:pP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此部分采用《建设工程施工合同》范本</w:t>
      </w:r>
      <w:r>
        <w:rPr>
          <w:rFonts w:ascii="宋体" w:hAnsi="宋体"/>
          <w:color w:val="000000"/>
          <w:kern w:val="0"/>
          <w:sz w:val="24"/>
        </w:rPr>
        <w:t>（GF—201</w:t>
      </w:r>
      <w:r>
        <w:rPr>
          <w:rFonts w:hint="eastAsia" w:ascii="宋体" w:hAnsi="宋体"/>
          <w:color w:val="000000"/>
          <w:kern w:val="0"/>
          <w:sz w:val="24"/>
        </w:rPr>
        <w:t>7</w:t>
      </w:r>
      <w:r>
        <w:rPr>
          <w:rFonts w:ascii="宋体" w:hAnsi="宋体"/>
          <w:color w:val="000000"/>
          <w:kern w:val="0"/>
          <w:sz w:val="24"/>
        </w:rPr>
        <w:t>—</w:t>
      </w:r>
      <w:r>
        <w:rPr>
          <w:rFonts w:hint="eastAsia" w:ascii="宋体" w:hAnsi="宋体"/>
          <w:color w:val="000000"/>
          <w:kern w:val="0"/>
          <w:sz w:val="24"/>
        </w:rPr>
        <w:t>0201）中《</w:t>
      </w:r>
      <w:r>
        <w:rPr>
          <w:rFonts w:ascii="宋体" w:hAnsi="宋体"/>
          <w:color w:val="000000"/>
          <w:kern w:val="0"/>
          <w:sz w:val="24"/>
        </w:rPr>
        <w:t>第二部分 通用合同条款</w:t>
      </w:r>
      <w:r>
        <w:rPr>
          <w:rFonts w:hint="eastAsia" w:ascii="宋体" w:hAnsi="宋体"/>
          <w:color w:val="000000"/>
          <w:kern w:val="0"/>
          <w:sz w:val="24"/>
        </w:rPr>
        <w:t>》内容。</w:t>
      </w:r>
    </w:p>
    <w:p>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hint="eastAsia" w:ascii="宋体" w:hAnsi="宋体"/>
          <w:sz w:val="32"/>
          <w:szCs w:val="32"/>
        </w:rPr>
        <w:t>专用合同条款</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 一般约定</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 词语定义</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1.1.1合同</w:t>
      </w:r>
    </w:p>
    <w:p>
      <w:pPr>
        <w:adjustRightInd w:val="0"/>
        <w:snapToGrid w:val="0"/>
        <w:spacing w:line="360" w:lineRule="auto"/>
        <w:ind w:firstLine="480" w:firstLineChars="200"/>
        <w:rPr>
          <w:rFonts w:ascii="宋体" w:hAnsi="宋体"/>
          <w:kern w:val="0"/>
          <w:sz w:val="24"/>
        </w:rPr>
      </w:pPr>
      <w:r>
        <w:rPr>
          <w:rFonts w:ascii="宋体" w:hAnsi="宋体"/>
          <w:color w:val="000000"/>
          <w:kern w:val="0"/>
          <w:sz w:val="24"/>
        </w:rPr>
        <w:t>1.1.1.10其他合同文件包括：</w:t>
      </w:r>
      <w:bookmarkStart w:id="97" w:name="EBa59562710c1342639fea6e701a6a4cbe"/>
      <w:r>
        <w:rPr>
          <w:rFonts w:hint="eastAsia" w:ascii="宋体" w:hAnsi="宋体"/>
          <w:szCs w:val="21"/>
          <w:u w:val="single"/>
        </w:rPr>
        <w:t>招标文件、答疑纪要、工程量清单及编制说明、投标文件及双方其他书面约定作为本合同附件，等同合同的法律效力</w:t>
      </w:r>
      <w:bookmarkEnd w:id="97"/>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 合同当事人及其他相关方</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1.1.2.4监理人：</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1.1.2.5 设计人：</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1.1.3 工程和设备</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1.1.3.9 永久占地包括：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1.1.3.10 临时占地包括：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 xml:space="preserve">1.3法律 </w:t>
      </w:r>
    </w:p>
    <w:p>
      <w:pPr>
        <w:autoSpaceDE w:val="0"/>
        <w:autoSpaceDN w:val="0"/>
        <w:adjustRightInd w:val="0"/>
        <w:snapToGrid w:val="0"/>
        <w:spacing w:line="360" w:lineRule="auto"/>
        <w:ind w:left="596" w:leftChars="284"/>
        <w:jc w:val="left"/>
        <w:rPr>
          <w:rFonts w:ascii="宋体" w:hAnsi="宋体"/>
          <w:sz w:val="24"/>
        </w:rPr>
      </w:pPr>
      <w:r>
        <w:rPr>
          <w:rFonts w:ascii="宋体" w:hAnsi="宋体"/>
          <w:color w:val="000000"/>
          <w:sz w:val="24"/>
        </w:rPr>
        <w:t>适用于合同的其他规范性文件：</w:t>
      </w:r>
      <w:r>
        <w:rPr>
          <w:rFonts w:hint="eastAsia" w:ascii="宋体" w:hAnsi="宋体"/>
          <w:kern w:val="0"/>
          <w:szCs w:val="21"/>
          <w:u w:val="single"/>
        </w:rPr>
        <w:t>招标文件、答疑纪要、工程量清单及编制说明、投标文件及双方其他书面约定作为本合同附件，等同合同的法律效力</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 标准和规范</w:t>
      </w:r>
    </w:p>
    <w:p>
      <w:pPr>
        <w:adjustRightInd w:val="0"/>
        <w:snapToGrid w:val="0"/>
        <w:spacing w:line="360" w:lineRule="auto"/>
        <w:ind w:left="596" w:leftChars="284"/>
        <w:rPr>
          <w:rFonts w:ascii="宋体" w:hAnsi="宋体"/>
          <w:color w:val="000000"/>
          <w:sz w:val="24"/>
        </w:rPr>
      </w:pPr>
      <w:r>
        <w:rPr>
          <w:rFonts w:ascii="宋体" w:hAnsi="宋体"/>
          <w:color w:val="000000"/>
          <w:sz w:val="24"/>
        </w:rPr>
        <w:t>1.4.1适用于工程的标准规范包括：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outlineLvl w:val="0"/>
        <w:rPr>
          <w:rFonts w:ascii="宋体" w:hAnsi="宋体"/>
          <w:color w:val="000000"/>
          <w:kern w:val="0"/>
          <w:sz w:val="24"/>
        </w:rPr>
      </w:pPr>
      <w:r>
        <w:rPr>
          <w:rFonts w:ascii="宋体" w:hAnsi="宋体"/>
          <w:color w:val="000000"/>
          <w:kern w:val="0"/>
          <w:sz w:val="24"/>
        </w:rPr>
        <w:t>1.4.2 发包人提供国外标准、规范的名称：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发包人提供国外标准、规范的份数：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kern w:val="0"/>
          <w:sz w:val="24"/>
        </w:rPr>
        <w:t>发包人提供国外标准、规范的名称：</w:t>
      </w:r>
      <w:r>
        <w:rPr>
          <w:rFonts w:hint="eastAsia" w:ascii="宋体" w:hAnsi="宋体" w:cs="宋体"/>
          <w:color w:val="0000FF"/>
          <w:u w:val="single"/>
        </w:rPr>
        <w:t>无</w:t>
      </w:r>
      <w:r>
        <w:rPr>
          <w:rFonts w:ascii="宋体" w:hAnsi="宋体"/>
          <w:color w:val="000000"/>
          <w:sz w:val="24"/>
        </w:rPr>
        <w:t>。</w:t>
      </w:r>
    </w:p>
    <w:p>
      <w:pPr>
        <w:adjustRightInd w:val="0"/>
        <w:snapToGrid w:val="0"/>
        <w:spacing w:line="360" w:lineRule="auto"/>
        <w:ind w:left="596" w:leftChars="284"/>
        <w:rPr>
          <w:rFonts w:ascii="宋体" w:hAnsi="宋体"/>
          <w:color w:val="000000"/>
          <w:sz w:val="24"/>
        </w:rPr>
      </w:pPr>
      <w:r>
        <w:rPr>
          <w:rFonts w:ascii="宋体" w:hAnsi="宋体"/>
          <w:color w:val="000000"/>
          <w:sz w:val="24"/>
        </w:rPr>
        <w:t>1.4.3发包人对工程的技术标准和功能要求的特殊要求：</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1.5 合同文件的优先顺序</w:t>
      </w:r>
    </w:p>
    <w:p>
      <w:pPr>
        <w:adjustRightInd w:val="0"/>
        <w:snapToGrid w:val="0"/>
        <w:spacing w:line="360" w:lineRule="auto"/>
        <w:ind w:firstLine="480" w:firstLineChars="200"/>
        <w:rPr>
          <w:rFonts w:ascii="宋体" w:hAnsi="宋体"/>
          <w:sz w:val="24"/>
        </w:rPr>
      </w:pPr>
      <w:r>
        <w:rPr>
          <w:rFonts w:ascii="宋体" w:hAnsi="宋体"/>
          <w:color w:val="000000"/>
          <w:sz w:val="24"/>
        </w:rPr>
        <w:t>合同文件组成及优先顺序为：</w:t>
      </w:r>
      <w:r>
        <w:rPr>
          <w:rFonts w:hint="eastAsia" w:ascii="宋体" w:hAnsi="宋体" w:cs="宋体"/>
          <w:u w:val="single"/>
        </w:rPr>
        <w:t>（</w:t>
      </w:r>
      <w:r>
        <w:rPr>
          <w:rFonts w:ascii="宋体" w:hAnsi="宋体" w:cs="宋体"/>
          <w:u w:val="single"/>
        </w:rPr>
        <w:t>1</w:t>
      </w:r>
      <w:r>
        <w:rPr>
          <w:rFonts w:hint="eastAsia" w:ascii="宋体" w:hAnsi="宋体" w:cs="宋体"/>
          <w:u w:val="single"/>
        </w:rPr>
        <w:t>）合同协议书；（</w:t>
      </w:r>
      <w:r>
        <w:rPr>
          <w:rFonts w:ascii="宋体" w:hAnsi="宋体" w:cs="宋体"/>
          <w:u w:val="single"/>
        </w:rPr>
        <w:t>2</w:t>
      </w:r>
      <w:r>
        <w:rPr>
          <w:rFonts w:hint="eastAsia" w:ascii="宋体" w:hAnsi="宋体" w:cs="宋体"/>
          <w:u w:val="single"/>
        </w:rPr>
        <w:t>）中标通知书（如果有）；（</w:t>
      </w:r>
      <w:r>
        <w:rPr>
          <w:rFonts w:ascii="宋体" w:hAnsi="宋体" w:cs="宋体"/>
          <w:u w:val="single"/>
        </w:rPr>
        <w:t>3</w:t>
      </w:r>
      <w:r>
        <w:rPr>
          <w:rFonts w:hint="eastAsia" w:ascii="宋体" w:hAnsi="宋体" w:cs="宋体"/>
          <w:u w:val="single"/>
        </w:rPr>
        <w:t>）投标函及其附录（如果有）；（</w:t>
      </w:r>
      <w:r>
        <w:rPr>
          <w:rFonts w:ascii="宋体" w:hAnsi="宋体" w:cs="宋体"/>
          <w:u w:val="single"/>
        </w:rPr>
        <w:t>4</w:t>
      </w:r>
      <w:r>
        <w:rPr>
          <w:rFonts w:hint="eastAsia" w:ascii="宋体" w:hAnsi="宋体" w:cs="宋体"/>
          <w:u w:val="single"/>
        </w:rPr>
        <w:t>）专用合同条款及其附件；（</w:t>
      </w:r>
      <w:r>
        <w:rPr>
          <w:rFonts w:ascii="宋体" w:hAnsi="宋体" w:cs="宋体"/>
          <w:u w:val="single"/>
        </w:rPr>
        <w:t>5</w:t>
      </w:r>
      <w:r>
        <w:rPr>
          <w:rFonts w:hint="eastAsia" w:ascii="宋体" w:hAnsi="宋体" w:cs="宋体"/>
          <w:u w:val="single"/>
        </w:rPr>
        <w:t>）通用合同条款；（</w:t>
      </w:r>
      <w:r>
        <w:rPr>
          <w:rFonts w:ascii="宋体" w:hAnsi="宋体" w:cs="宋体"/>
          <w:u w:val="single"/>
        </w:rPr>
        <w:t>6</w:t>
      </w:r>
      <w:r>
        <w:rPr>
          <w:rFonts w:hint="eastAsia" w:ascii="宋体" w:hAnsi="宋体" w:cs="宋体"/>
          <w:u w:val="single"/>
        </w:rPr>
        <w:t>）技术标准和要求；（</w:t>
      </w:r>
      <w:r>
        <w:rPr>
          <w:rFonts w:ascii="宋体" w:hAnsi="宋体" w:cs="宋体"/>
          <w:u w:val="single"/>
        </w:rPr>
        <w:t>7</w:t>
      </w:r>
      <w:r>
        <w:rPr>
          <w:rFonts w:hint="eastAsia" w:ascii="宋体" w:hAnsi="宋体" w:cs="宋体"/>
          <w:u w:val="single"/>
        </w:rPr>
        <w:t>）图纸；（</w:t>
      </w:r>
      <w:r>
        <w:rPr>
          <w:rFonts w:ascii="宋体" w:hAnsi="宋体" w:cs="宋体"/>
          <w:u w:val="single"/>
        </w:rPr>
        <w:t>8</w:t>
      </w:r>
      <w:r>
        <w:rPr>
          <w:rFonts w:hint="eastAsia" w:ascii="宋体" w:hAnsi="宋体" w:cs="宋体"/>
          <w:u w:val="single"/>
        </w:rPr>
        <w:t>）已标价工程量清单或预算书；（</w:t>
      </w:r>
      <w:r>
        <w:rPr>
          <w:rFonts w:ascii="宋体" w:hAnsi="宋体" w:cs="宋体"/>
          <w:u w:val="single"/>
        </w:rPr>
        <w:t>9</w:t>
      </w:r>
      <w:r>
        <w:rPr>
          <w:rFonts w:hint="eastAsia" w:ascii="宋体" w:hAnsi="宋体" w:cs="宋体"/>
          <w:u w:val="single"/>
        </w:rPr>
        <w:t>）其他合同文件。</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1.6.1 图纸的提供</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发包人向承包人提供图纸的期限：</w:t>
      </w:r>
      <w:bookmarkStart w:id="98" w:name="EBfdeb007842ea42c8a8d8244144429946"/>
      <w:r>
        <w:rPr>
          <w:rFonts w:hint="eastAsia" w:ascii="宋体" w:hAnsi="宋体" w:cs="宋体"/>
          <w:u w:val="single"/>
        </w:rPr>
        <w:t>开工前7天</w:t>
      </w:r>
      <w:bookmarkEnd w:id="98"/>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发包人向承包人提供图纸的数量：</w:t>
      </w:r>
      <w:bookmarkStart w:id="99" w:name="EBd0ac771692dc4c5b852a3948876889b6"/>
      <w:r>
        <w:rPr>
          <w:rFonts w:hint="eastAsia" w:ascii="宋体" w:hAnsi="宋体"/>
          <w:szCs w:val="21"/>
          <w:u w:val="single"/>
        </w:rPr>
        <w:t>肆套（含竣工后提供的二套竣工图）</w:t>
      </w:r>
      <w:bookmarkEnd w:id="99"/>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发包人向承包人提供图纸的内容：</w:t>
      </w:r>
      <w:r>
        <w:rPr>
          <w:rFonts w:hint="eastAsia" w:ascii="宋体" w:hAnsi="宋体" w:cs="宋体"/>
          <w:u w:val="single"/>
        </w:rPr>
        <w:t>提供经审图合格的全部施工图纸</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1.6.4 承包人文件</w:t>
      </w:r>
    </w:p>
    <w:p>
      <w:pPr>
        <w:adjustRightInd w:val="0"/>
        <w:snapToGrid w:val="0"/>
        <w:spacing w:line="360" w:lineRule="auto"/>
        <w:ind w:left="596" w:leftChars="284"/>
        <w:jc w:val="left"/>
        <w:rPr>
          <w:rFonts w:ascii="宋体" w:hAnsi="宋体"/>
          <w:sz w:val="24"/>
        </w:rPr>
      </w:pPr>
      <w:r>
        <w:rPr>
          <w:rFonts w:ascii="宋体" w:hAnsi="宋体"/>
          <w:color w:val="000000"/>
          <w:sz w:val="24"/>
        </w:rPr>
        <w:t>需要由承包人提供的文件，包括：</w:t>
      </w:r>
      <w:r>
        <w:rPr>
          <w:rFonts w:hint="eastAsia" w:ascii="宋体" w:hAnsi="宋体" w:cs="宋体"/>
          <w:u w:val="single"/>
        </w:rPr>
        <w:t>包含但不限于发包人和监理人要求的各类报表、验收资料及竣工资料等</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szCs w:val="21"/>
          <w:u w:val="single"/>
        </w:rPr>
        <w:t>竣工验收前</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szCs w:val="21"/>
          <w:u w:val="single"/>
        </w:rPr>
        <w:t>一式肆份</w:t>
      </w:r>
      <w:r>
        <w:rPr>
          <w:rFonts w:ascii="宋体" w:hAnsi="宋体"/>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s="宋体"/>
          <w:u w:val="single"/>
        </w:rPr>
        <w:t>纸质和电子文件</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bookmarkStart w:id="100" w:name="EB5534a68665764e60a671cd5b215eafef"/>
      <w:r>
        <w:rPr>
          <w:rFonts w:hint="eastAsia" w:ascii="宋体" w:hAnsi="宋体" w:cs="宋体"/>
          <w:u w:val="single"/>
        </w:rPr>
        <w:t>承包人提供相应文件后7天内</w:t>
      </w:r>
      <w:bookmarkEnd w:id="100"/>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1.7 联络</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1.7.1发包人和承包人应当在</w:t>
      </w:r>
      <w:r>
        <w:rPr>
          <w:rFonts w:hint="eastAsia" w:ascii="宋体" w:hAnsi="宋体" w:cs="宋体"/>
          <w:u w:val="single"/>
        </w:rPr>
        <w:t xml:space="preserve">1 </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s="宋体"/>
          <w:u w:val="single"/>
        </w:rPr>
        <w:t>发包人代表或其授权代表</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s="宋体"/>
          <w:u w:val="single"/>
        </w:rPr>
        <w:t>项目经理或其授权代表</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监理人接收文件的地点：</w:t>
      </w:r>
      <w:r>
        <w:rPr>
          <w:rFonts w:hint="eastAsia" w:ascii="宋体" w:hAnsi="宋体" w:cs="宋体"/>
          <w:u w:val="single"/>
        </w:rPr>
        <w:t>现场办公室</w:t>
      </w:r>
      <w:r>
        <w:rPr>
          <w:rFonts w:ascii="宋体" w:hAnsi="宋体"/>
          <w:color w:val="000000"/>
          <w:sz w:val="24"/>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监理人指定的接收人为：</w:t>
      </w:r>
      <w:r>
        <w:rPr>
          <w:rFonts w:hint="eastAsia" w:ascii="宋体" w:hAnsi="宋体" w:cs="宋体"/>
          <w:u w:val="single"/>
        </w:rPr>
        <w:t>总监理工程师或其授权代表</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1.10 交通运输</w:t>
      </w:r>
    </w:p>
    <w:p>
      <w:pPr>
        <w:adjustRightInd w:val="0"/>
        <w:snapToGrid w:val="0"/>
        <w:spacing w:line="360" w:lineRule="auto"/>
        <w:ind w:firstLine="480" w:firstLineChars="200"/>
        <w:outlineLvl w:val="0"/>
        <w:rPr>
          <w:rFonts w:ascii="宋体" w:hAnsi="宋体"/>
          <w:sz w:val="24"/>
        </w:rPr>
      </w:pPr>
      <w:r>
        <w:rPr>
          <w:rFonts w:ascii="宋体" w:hAnsi="宋体"/>
          <w:sz w:val="24"/>
        </w:rPr>
        <w:t>1.10.1 出入现场的权利</w:t>
      </w:r>
    </w:p>
    <w:p>
      <w:pPr>
        <w:adjustRightInd w:val="0"/>
        <w:snapToGrid w:val="0"/>
        <w:spacing w:line="360" w:lineRule="auto"/>
        <w:ind w:left="596" w:leftChars="284"/>
        <w:rPr>
          <w:rFonts w:ascii="宋体" w:hAnsi="宋体"/>
          <w:sz w:val="24"/>
        </w:rPr>
      </w:pPr>
      <w:r>
        <w:rPr>
          <w:rFonts w:ascii="宋体" w:hAnsi="宋体"/>
          <w:sz w:val="24"/>
        </w:rPr>
        <w:t>关于出入现场的权利的约定：</w:t>
      </w:r>
      <w:r>
        <w:rPr>
          <w:rFonts w:hint="eastAsia" w:ascii="宋体" w:hAnsi="宋体"/>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hint="eastAsia" w:ascii="宋体" w:hAnsi="宋体" w:cs="宋体"/>
          <w:u w:val="single"/>
        </w:rPr>
        <w:t>。</w:t>
      </w:r>
      <w:r>
        <w:rPr>
          <w:rFonts w:ascii="宋体" w:hAnsi="宋体"/>
          <w:sz w:val="24"/>
        </w:rPr>
        <w:t>。</w:t>
      </w:r>
    </w:p>
    <w:p>
      <w:pPr>
        <w:adjustRightInd w:val="0"/>
        <w:snapToGrid w:val="0"/>
        <w:spacing w:line="360" w:lineRule="auto"/>
        <w:ind w:firstLine="480" w:firstLineChars="200"/>
        <w:jc w:val="left"/>
        <w:outlineLvl w:val="0"/>
        <w:rPr>
          <w:rFonts w:ascii="宋体" w:hAnsi="宋体"/>
          <w:sz w:val="24"/>
        </w:rPr>
      </w:pPr>
      <w:r>
        <w:rPr>
          <w:rFonts w:ascii="宋体" w:hAnsi="宋体"/>
          <w:sz w:val="24"/>
        </w:rPr>
        <w:t>1.10.3 场内交通</w:t>
      </w:r>
    </w:p>
    <w:p>
      <w:pPr>
        <w:adjustRightInd w:val="0"/>
        <w:snapToGrid w:val="0"/>
        <w:spacing w:line="360" w:lineRule="auto"/>
        <w:ind w:firstLine="480" w:firstLineChars="200"/>
        <w:jc w:val="left"/>
        <w:rPr>
          <w:rFonts w:ascii="宋体" w:hAnsi="宋体"/>
          <w:kern w:val="0"/>
          <w:sz w:val="24"/>
        </w:rPr>
      </w:pPr>
      <w:r>
        <w:rPr>
          <w:rFonts w:ascii="宋体" w:hAnsi="宋体"/>
          <w:color w:val="000000"/>
          <w:kern w:val="0"/>
          <w:sz w:val="24"/>
        </w:rPr>
        <w:t>关于场外交通和场内交通的边界的约定：</w:t>
      </w:r>
      <w:r>
        <w:rPr>
          <w:rFonts w:hint="eastAsia" w:ascii="宋体" w:hAnsi="宋体"/>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hint="eastAsia" w:ascii="宋体" w:hAnsi="宋体" w:cs="宋体"/>
          <w:u w:val="single"/>
        </w:rPr>
        <w:t>。</w:t>
      </w:r>
    </w:p>
    <w:p>
      <w:pPr>
        <w:adjustRightInd w:val="0"/>
        <w:snapToGrid w:val="0"/>
        <w:spacing w:line="360" w:lineRule="auto"/>
        <w:ind w:firstLine="480" w:firstLineChars="20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hint="eastAsia" w:ascii="宋体" w:hAnsi="宋体" w:cs="宋体"/>
          <w:u w:val="single"/>
        </w:rPr>
        <w:t>。</w:t>
      </w:r>
      <w:r>
        <w:rPr>
          <w:rFonts w:hint="eastAsia" w:ascii="宋体" w:hAnsi="宋体"/>
          <w:sz w:val="24"/>
          <w:u w:val="single"/>
        </w:rPr>
        <w:t xml:space="preserve"> </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1.10.4超大件和超重件的运输</w:t>
      </w:r>
    </w:p>
    <w:p>
      <w:pPr>
        <w:adjustRightInd w:val="0"/>
        <w:snapToGrid w:val="0"/>
        <w:spacing w:line="360" w:lineRule="auto"/>
        <w:ind w:firstLine="480" w:firstLineChars="20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cs="宋体"/>
          <w:u w:val="single"/>
        </w:rPr>
        <w:t>承包人</w:t>
      </w:r>
      <w:r>
        <w:rPr>
          <w:rFonts w:ascii="宋体" w:hAnsi="宋体"/>
          <w:sz w:val="24"/>
        </w:rPr>
        <w:t>承担。</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1.11 知识产权</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left="596" w:leftChars="284"/>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s="宋体"/>
          <w:color w:val="0000FF"/>
          <w:u w:val="single"/>
        </w:rPr>
        <w:t>/</w:t>
      </w:r>
      <w:r>
        <w:rPr>
          <w:rFonts w:ascii="宋体" w:hAnsi="宋体"/>
          <w:color w:val="000000"/>
          <w:sz w:val="24"/>
        </w:rPr>
        <w:t>。</w:t>
      </w:r>
    </w:p>
    <w:p>
      <w:pPr>
        <w:adjustRightInd w:val="0"/>
        <w:snapToGrid w:val="0"/>
        <w:spacing w:line="36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s="宋体"/>
          <w:u w:val="single"/>
        </w:rPr>
        <w:t>执行通用条款</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1.13工程量清单错误的修正</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出现工程量清单错误时，是否调整合同价格：</w:t>
      </w:r>
      <w:r>
        <w:rPr>
          <w:rFonts w:hint="eastAsia" w:ascii="宋体" w:hAnsi="宋体"/>
          <w:kern w:val="0"/>
          <w:szCs w:val="21"/>
          <w:u w:val="single"/>
        </w:rPr>
        <w:t>按发包人要求执行</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kern w:val="0"/>
          <w:szCs w:val="21"/>
          <w:u w:val="single"/>
        </w:rPr>
        <w:t>按发包人要求执行</w:t>
      </w:r>
      <w:r>
        <w:rPr>
          <w:rFonts w:ascii="宋体" w:hAnsi="宋体"/>
          <w:color w:val="000000"/>
          <w:kern w:val="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2. 发包人</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2.2 发包人代表</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发包人代表：</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s="宋体"/>
          <w:u w:val="single"/>
        </w:rPr>
        <w:t>按发包人要求执行</w:t>
      </w:r>
      <w:r>
        <w:rPr>
          <w:rFonts w:ascii="宋体" w:hAnsi="宋体" w:cs="宋体"/>
          <w:u w:val="single"/>
        </w:rPr>
        <w:t xml:space="preserve"> </w:t>
      </w:r>
      <w:r>
        <w:rPr>
          <w:rFonts w:hint="eastAsia" w:ascii="宋体" w:hAnsi="宋体"/>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2.4.1 提供施工现场</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s="宋体"/>
          <w:sz w:val="24"/>
          <w:u w:val="single"/>
        </w:rPr>
        <w:t>开工前提供，施工现场具备开工条件</w:t>
      </w:r>
      <w:r>
        <w:rPr>
          <w:rFonts w:hint="eastAsia" w:ascii="宋体" w:hAnsi="宋体"/>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2.4.2 提供施工条件</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发包人提供资金来源证明的期限要求：</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发包人是否提供支付担保：</w:t>
      </w:r>
      <w:r>
        <w:rPr>
          <w:rFonts w:hint="eastAsia" w:ascii="宋体" w:hAnsi="宋体" w:cs="宋体"/>
          <w:u w:val="single"/>
        </w:rPr>
        <w:t>否</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发包人提供支付担保的形式：</w:t>
      </w:r>
      <w:r>
        <w:rPr>
          <w:rFonts w:hint="eastAsia" w:ascii="宋体" w:hAnsi="宋体" w:cs="宋体"/>
          <w:u w:val="single"/>
        </w:rPr>
        <w:t>无</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3. 承包人</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3.1 承包人的一般义务</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ascii="宋体" w:hAnsi="宋体"/>
          <w:sz w:val="24"/>
          <w:u w:val="single"/>
        </w:rPr>
        <w:t xml:space="preserve">  </w:t>
      </w:r>
      <w:bookmarkStart w:id="101" w:name="EB24f010a9250545559a40b307368337ca"/>
      <w:r>
        <w:rPr>
          <w:rFonts w:hint="eastAsia" w:ascii="宋体" w:hAnsi="宋体"/>
          <w:u w:val="single"/>
        </w:rPr>
        <w:t>所有书面和电子竣工资料</w:t>
      </w:r>
      <w:bookmarkEnd w:id="101"/>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承包人需要提交的竣工资料套数：</w:t>
      </w:r>
      <w:bookmarkStart w:id="102" w:name="EBd003d1b505a84249bb0a5b3aa148e89c"/>
      <w:r>
        <w:rPr>
          <w:rFonts w:hint="eastAsia" w:ascii="宋体" w:hAnsi="宋体"/>
          <w:u w:val="single"/>
        </w:rPr>
        <w:t>满足发包人档案编制要求</w:t>
      </w:r>
      <w:bookmarkEnd w:id="102"/>
      <w:r>
        <w:rPr>
          <w:rFonts w:ascii="宋体" w:hAnsi="宋体"/>
          <w:color w:val="000000"/>
          <w:sz w:val="24"/>
        </w:rPr>
        <w:t>。</w:t>
      </w:r>
    </w:p>
    <w:p>
      <w:pPr>
        <w:adjustRightInd w:val="0"/>
        <w:snapToGrid w:val="0"/>
        <w:spacing w:line="36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ascii="宋体" w:hAnsi="宋体"/>
          <w:sz w:val="24"/>
          <w:u w:val="single"/>
        </w:rPr>
        <w:t xml:space="preserve">  </w:t>
      </w:r>
      <w:r>
        <w:rPr>
          <w:rFonts w:hint="eastAsia" w:ascii="宋体" w:hAnsi="宋体" w:cs="宋体"/>
          <w:u w:val="single"/>
        </w:rPr>
        <w:t>由承包人自行承担</w:t>
      </w:r>
      <w:r>
        <w:rPr>
          <w:rFonts w:ascii="宋体" w:hAnsi="宋体"/>
          <w:color w:val="000000"/>
          <w:sz w:val="24"/>
        </w:rPr>
        <w:t>。</w:t>
      </w:r>
    </w:p>
    <w:p>
      <w:pPr>
        <w:adjustRightInd w:val="0"/>
        <w:snapToGrid w:val="0"/>
        <w:spacing w:line="360" w:lineRule="auto"/>
        <w:ind w:left="638" w:leftChars="304"/>
        <w:jc w:val="left"/>
        <w:rPr>
          <w:rFonts w:ascii="宋体" w:hAnsi="宋体"/>
          <w:color w:val="000000"/>
          <w:sz w:val="24"/>
        </w:rPr>
      </w:pPr>
      <w:r>
        <w:rPr>
          <w:rFonts w:ascii="宋体" w:hAnsi="宋体"/>
          <w:color w:val="000000"/>
          <w:sz w:val="24"/>
        </w:rPr>
        <w:t>承包人提交的竣工资料移交时间：</w:t>
      </w:r>
      <w:r>
        <w:rPr>
          <w:rFonts w:ascii="宋体" w:hAnsi="宋体"/>
          <w:color w:val="000000"/>
          <w:sz w:val="24"/>
          <w:u w:val="single"/>
        </w:rPr>
        <w:t xml:space="preserve"> </w:t>
      </w:r>
      <w:r>
        <w:rPr>
          <w:rFonts w:ascii="宋体" w:hAnsi="宋体"/>
          <w:sz w:val="24"/>
          <w:u w:val="single"/>
        </w:rPr>
        <w:t xml:space="preserve"> </w:t>
      </w:r>
      <w:r>
        <w:rPr>
          <w:rFonts w:hint="eastAsia" w:ascii="宋体" w:hAnsi="宋体"/>
          <w:kern w:val="0"/>
          <w:szCs w:val="21"/>
          <w:u w:val="single"/>
        </w:rPr>
        <w:t>竣工验收前</w:t>
      </w:r>
      <w:r>
        <w:rPr>
          <w:rFonts w:ascii="宋体" w:hAnsi="宋体"/>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ascii="宋体" w:hAnsi="宋体"/>
          <w:sz w:val="24"/>
          <w:u w:val="single"/>
        </w:rPr>
        <w:t xml:space="preserve">  </w:t>
      </w:r>
      <w:r>
        <w:rPr>
          <w:rFonts w:hint="eastAsia" w:ascii="宋体" w:hAnsi="宋体" w:cs="宋体"/>
          <w:u w:val="single"/>
        </w:rPr>
        <w:t>纸质和电子文件</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r>
        <w:rPr>
          <w:rFonts w:ascii="宋体" w:hAnsi="宋体"/>
          <w:color w:val="000000"/>
          <w:sz w:val="24"/>
          <w:u w:val="single"/>
        </w:rPr>
        <w:t></w:t>
      </w:r>
      <w:r>
        <w:rPr>
          <w:rFonts w:hint="eastAsia" w:ascii="宋体" w:hAnsi="宋体"/>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3.2 项目经理</w:t>
      </w:r>
    </w:p>
    <w:p>
      <w:pPr>
        <w:adjustRightInd w:val="0"/>
        <w:snapToGrid w:val="0"/>
        <w:spacing w:line="360" w:lineRule="auto"/>
        <w:ind w:firstLine="480" w:firstLineChars="20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FF"/>
          <w:u w:val="single"/>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w:t>
      </w:r>
      <w:r>
        <w:rPr>
          <w:rFonts w:hint="eastAsia" w:ascii="宋体" w:hAnsi="宋体"/>
          <w:color w:val="0000FF"/>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color w:val="000000"/>
          <w:sz w:val="24"/>
        </w:rPr>
        <w:t>承包人对项目经理的授权范围如下：</w:t>
      </w:r>
      <w:r>
        <w:rPr>
          <w:rFonts w:hint="eastAsia" w:ascii="宋体" w:hAnsi="宋体"/>
          <w:color w:val="000000"/>
          <w:sz w:val="24"/>
          <w:u w:val="single"/>
        </w:rPr>
        <w:t xml:space="preserve">   </w:t>
      </w:r>
      <w:r>
        <w:rPr>
          <w:rFonts w:hint="eastAsia" w:ascii="宋体" w:hAnsi="宋体" w:cs="宋体"/>
          <w:u w:val="single"/>
        </w:rPr>
        <w:t>代表承包人行使合同约定的权利和义务，履行合同约定的各项职责。</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hint="eastAsia" w:ascii="宋体" w:hAnsi="宋体" w:cs="宋体"/>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pPr>
        <w:adjustRightInd w:val="0"/>
        <w:snapToGrid w:val="0"/>
        <w:spacing w:line="360" w:lineRule="auto"/>
        <w:ind w:firstLine="480" w:firstLineChars="20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hint="eastAsia" w:ascii="宋体" w:hAnsi="宋体" w:cs="宋体"/>
          <w:u w:val="single"/>
        </w:rPr>
        <w:t>由承包人承担</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Pr>
          <w:rFonts w:ascii="宋体" w:hAnsi="宋体"/>
          <w:sz w:val="24"/>
          <w:u w:val="single"/>
        </w:rPr>
        <w:t xml:space="preserve"> </w:t>
      </w:r>
      <w:r>
        <w:rPr>
          <w:rFonts w:hint="eastAsia" w:ascii="宋体" w:hAnsi="宋体" w:cs="宋体"/>
          <w:u w:val="single"/>
        </w:rPr>
        <w:t>5000元/次</w:t>
      </w:r>
      <w:r>
        <w:rPr>
          <w:rFonts w:hint="eastAsia" w:ascii="宋体" w:hAnsi="宋体"/>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3.2.3 承包人擅自更换项目经理的违约责任：</w:t>
      </w:r>
      <w:r>
        <w:rPr>
          <w:rFonts w:hint="eastAsia" w:ascii="宋体" w:hAnsi="宋体"/>
          <w:color w:val="000000"/>
          <w:sz w:val="24"/>
          <w:u w:val="single"/>
        </w:rPr>
        <w:t xml:space="preserve">  </w:t>
      </w:r>
      <w:r>
        <w:rPr>
          <w:rFonts w:hint="eastAsia" w:ascii="宋体" w:hAnsi="宋体" w:cs="宋体"/>
          <w:u w:val="single"/>
        </w:rPr>
        <w:t>不得</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hint="eastAsia" w:ascii="宋体" w:hAnsi="宋体"/>
          <w:color w:val="000000"/>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3.3 承包人人员</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Pr>
          <w:rFonts w:hint="eastAsia" w:ascii="宋体" w:hAnsi="宋体" w:cs="宋体"/>
          <w:u w:val="single"/>
        </w:rPr>
        <w:t>开工前7天</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3.3.3 承包人无正当理由拒绝撤换主要施工管理人员的违约责任：</w:t>
      </w:r>
      <w:r>
        <w:rPr>
          <w:rFonts w:hint="eastAsia" w:ascii="宋体" w:hAnsi="宋体"/>
          <w:color w:val="000000"/>
          <w:sz w:val="24"/>
          <w:u w:val="single"/>
        </w:rPr>
        <w:t xml:space="preserve">  </w:t>
      </w:r>
      <w:r>
        <w:rPr>
          <w:rFonts w:hint="eastAsia" w:ascii="宋体" w:hAnsi="宋体" w:cs="宋体"/>
          <w:u w:val="single"/>
        </w:rPr>
        <w:t>不得</w:t>
      </w:r>
      <w:r>
        <w:rPr>
          <w:rFonts w:hint="eastAsia" w:ascii="宋体" w:hAnsi="宋体"/>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u w:val="single"/>
        </w:rPr>
      </w:pPr>
      <w:r>
        <w:rPr>
          <w:rFonts w:ascii="宋体" w:hAnsi="宋体"/>
          <w:color w:val="000000"/>
          <w:sz w:val="24"/>
        </w:rPr>
        <w:t xml:space="preserve">3.3.4 承包人主要施工管理人员离开施工现场的批准要求：   </w:t>
      </w:r>
      <w:r>
        <w:rPr>
          <w:rFonts w:hint="eastAsia" w:ascii="宋体" w:hAnsi="宋体" w:cs="宋体"/>
          <w:u w:val="single"/>
        </w:rPr>
        <w:t>须征得发包人书面同意</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3.3.5承包人擅自更换主要施工管理人员的违约责任：</w:t>
      </w:r>
      <w:r>
        <w:rPr>
          <w:rFonts w:hint="eastAsia" w:ascii="宋体" w:hAnsi="宋体"/>
          <w:color w:val="000000"/>
          <w:sz w:val="24"/>
          <w:u w:val="single"/>
        </w:rPr>
        <w:t xml:space="preserve">  </w:t>
      </w:r>
      <w:r>
        <w:rPr>
          <w:rFonts w:hint="eastAsia" w:ascii="宋体" w:hAnsi="宋体"/>
          <w:sz w:val="24"/>
          <w:u w:val="single"/>
        </w:rPr>
        <w:t xml:space="preserve"> </w:t>
      </w:r>
      <w:r>
        <w:rPr>
          <w:rFonts w:hint="eastAsia" w:ascii="宋体" w:hAnsi="宋体" w:cs="宋体"/>
          <w:u w:val="single"/>
        </w:rPr>
        <w:t>不得</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承包人主要施工管理人员擅自离开施工现场的违约责任：</w:t>
      </w:r>
      <w:r>
        <w:rPr>
          <w:rFonts w:hint="eastAsia" w:ascii="宋体" w:hAnsi="宋体"/>
          <w:color w:val="000000"/>
          <w:sz w:val="24"/>
          <w:u w:val="single"/>
        </w:rPr>
        <w:t xml:space="preserve">  </w:t>
      </w:r>
      <w:r>
        <w:rPr>
          <w:rFonts w:hint="eastAsia" w:ascii="宋体" w:hAnsi="宋体" w:cs="宋体"/>
          <w:u w:val="single"/>
        </w:rPr>
        <w:t>不得</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3.5 分包</w:t>
      </w:r>
    </w:p>
    <w:p>
      <w:pPr>
        <w:adjustRightInd w:val="0"/>
        <w:snapToGrid w:val="0"/>
        <w:spacing w:line="360" w:lineRule="auto"/>
        <w:ind w:firstLine="480" w:firstLineChars="200"/>
        <w:rPr>
          <w:rFonts w:ascii="宋体" w:hAnsi="宋体"/>
          <w:sz w:val="24"/>
        </w:rPr>
      </w:pPr>
      <w:r>
        <w:rPr>
          <w:rFonts w:ascii="宋体" w:hAnsi="宋体"/>
          <w:sz w:val="24"/>
        </w:rPr>
        <w:t>3.5.1 分包的一般约定</w:t>
      </w:r>
    </w:p>
    <w:p>
      <w:pPr>
        <w:adjustRightInd w:val="0"/>
        <w:snapToGrid w:val="0"/>
        <w:spacing w:line="360" w:lineRule="auto"/>
        <w:ind w:firstLine="480" w:firstLineChars="200"/>
        <w:jc w:val="left"/>
        <w:rPr>
          <w:rFonts w:ascii="宋体" w:hAnsi="宋体"/>
          <w:sz w:val="24"/>
        </w:rPr>
      </w:pPr>
      <w:r>
        <w:rPr>
          <w:rFonts w:ascii="宋体" w:hAnsi="宋体"/>
          <w:sz w:val="24"/>
        </w:rPr>
        <w:t>禁止分包的工程包括：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u w:val="single"/>
        </w:rPr>
      </w:pPr>
      <w:r>
        <w:rPr>
          <w:rFonts w:ascii="宋体" w:hAnsi="宋体"/>
          <w:sz w:val="24"/>
        </w:rPr>
        <w:t>主体结构、关键性工作的范围：</w:t>
      </w:r>
      <w:r>
        <w:rPr>
          <w:rFonts w:hint="eastAsia" w:ascii="宋体" w:hAnsi="宋体"/>
          <w:u w:val="single"/>
        </w:rPr>
        <w:t>本工程严禁转包，一经发现，即中止合同，并赔偿由此造成的一切损失。专业工程分包需符合相关规定，并报监理人和发包人批准</w:t>
      </w:r>
      <w:r>
        <w:rPr>
          <w:rFonts w:ascii="宋体" w:hAnsi="宋体"/>
          <w:color w:val="000000"/>
          <w:sz w:val="24"/>
        </w:rPr>
        <w:t>。</w:t>
      </w:r>
    </w:p>
    <w:p>
      <w:pPr>
        <w:adjustRightInd w:val="0"/>
        <w:snapToGrid w:val="0"/>
        <w:spacing w:line="360" w:lineRule="auto"/>
        <w:rPr>
          <w:rFonts w:ascii="宋体" w:hAnsi="宋体"/>
          <w:sz w:val="24"/>
        </w:rPr>
      </w:pPr>
      <w:r>
        <w:rPr>
          <w:rFonts w:ascii="宋体" w:hAnsi="宋体"/>
          <w:sz w:val="24"/>
        </w:rPr>
        <w:t xml:space="preserve">    3.5.2分包的确定</w:t>
      </w:r>
    </w:p>
    <w:p>
      <w:pPr>
        <w:adjustRightInd w:val="0"/>
        <w:snapToGrid w:val="0"/>
        <w:spacing w:line="360" w:lineRule="auto"/>
        <w:ind w:firstLine="480" w:firstLineChars="200"/>
        <w:rPr>
          <w:rFonts w:ascii="宋体" w:hAnsi="宋体"/>
          <w:color w:val="000000"/>
          <w:sz w:val="24"/>
          <w:u w:val="single"/>
        </w:rPr>
      </w:pPr>
      <w:r>
        <w:rPr>
          <w:rFonts w:ascii="宋体" w:hAnsi="宋体"/>
          <w:sz w:val="24"/>
        </w:rPr>
        <w:t>允许分包的专业工程包括：</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color w:val="000000"/>
          <w:sz w:val="24"/>
        </w:rPr>
        <w:t>其他关于分包的约定：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rPr>
          <w:rFonts w:ascii="宋体" w:hAnsi="宋体"/>
          <w:sz w:val="24"/>
        </w:rPr>
      </w:pPr>
      <w:r>
        <w:rPr>
          <w:rFonts w:ascii="宋体" w:hAnsi="宋体"/>
          <w:sz w:val="24"/>
        </w:rPr>
        <w:t>3.5.4 分包合同价款</w:t>
      </w:r>
    </w:p>
    <w:p>
      <w:pPr>
        <w:adjustRightInd w:val="0"/>
        <w:snapToGrid w:val="0"/>
        <w:spacing w:line="360" w:lineRule="auto"/>
        <w:ind w:firstLine="480" w:firstLineChars="200"/>
        <w:rPr>
          <w:rFonts w:ascii="宋体" w:hAnsi="宋体"/>
          <w:sz w:val="24"/>
        </w:rPr>
      </w:pPr>
      <w:r>
        <w:rPr>
          <w:rFonts w:ascii="宋体" w:hAnsi="宋体"/>
          <w:sz w:val="24"/>
        </w:rPr>
        <w:t>关于分包合同价款支付的约定：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3.6 工程照管与成品、半成品保护</w:t>
      </w:r>
    </w:p>
    <w:p>
      <w:pPr>
        <w:adjustRightInd w:val="0"/>
        <w:snapToGrid w:val="0"/>
        <w:spacing w:before="120" w:after="120" w:line="36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3.7 履约担保</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承包人是否提供履约担保：</w:t>
      </w:r>
      <w:r>
        <w:rPr>
          <w:rFonts w:ascii="宋体" w:hAnsi="宋体"/>
          <w:color w:val="000000"/>
          <w:sz w:val="24"/>
          <w:u w:val="single"/>
        </w:rPr>
        <w:t xml:space="preserve">  </w:t>
      </w:r>
      <w:r>
        <w:rPr>
          <w:rFonts w:hint="eastAsia" w:ascii="宋体" w:hAnsi="宋体" w:cs="宋体"/>
          <w:u w:val="single"/>
        </w:rPr>
        <w:t>不提供</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4. 监理人</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4.1监理人的一般规定</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hint="eastAsia" w:ascii="宋体" w:hAnsi="宋体" w:cs="宋体"/>
          <w:u w:val="single"/>
        </w:rPr>
        <w:t>按监理合同执行</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hint="eastAsia" w:ascii="宋体" w:hAnsi="宋体" w:cs="宋体"/>
          <w:u w:val="single"/>
        </w:rPr>
        <w:t>按监理合同执行</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关于监理人在施工现场的办公场所、生活场所的提供和费用承担的约定：</w:t>
      </w:r>
      <w:r>
        <w:rPr>
          <w:rFonts w:hint="eastAsia" w:ascii="宋体" w:hAnsi="宋体" w:cs="宋体"/>
          <w:u w:val="single"/>
        </w:rPr>
        <w:t>按监理合同执行</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4.2 监理人员</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总监理工程师：</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关于监理人的其他约定：</w:t>
      </w:r>
      <w:r>
        <w:rPr>
          <w:rFonts w:hint="eastAsia" w:ascii="宋体" w:hAnsi="宋体" w:cs="宋体"/>
          <w:color w:val="000000" w:themeColor="text1"/>
          <w:u w:val="single"/>
          <w14:textFill>
            <w14:solidFill>
              <w14:schemeClr w14:val="tx1"/>
            </w14:solidFill>
          </w14:textFill>
        </w:rPr>
        <w:t>按监理合同执行</w:t>
      </w:r>
      <w:r>
        <w:rPr>
          <w:rFonts w:ascii="宋体" w:hAnsi="宋体"/>
          <w:color w:val="000000"/>
          <w:sz w:val="24"/>
          <w:u w:val="single"/>
        </w:rPr>
        <w:t></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5. 工程质量</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5.1 质量要求</w:t>
      </w:r>
    </w:p>
    <w:p>
      <w:pPr>
        <w:adjustRightInd w:val="0"/>
        <w:snapToGrid w:val="0"/>
        <w:spacing w:line="360" w:lineRule="auto"/>
        <w:ind w:firstLine="480" w:firstLineChars="200"/>
        <w:jc w:val="left"/>
        <w:rPr>
          <w:rFonts w:ascii="宋体" w:hAnsi="宋体"/>
          <w:sz w:val="24"/>
        </w:rPr>
      </w:pPr>
      <w:r>
        <w:rPr>
          <w:rFonts w:ascii="宋体" w:hAnsi="宋体"/>
          <w:sz w:val="24"/>
        </w:rPr>
        <w:t>5.1.1 特殊质量标准和要求：</w:t>
      </w:r>
      <w:r>
        <w:rPr>
          <w:rFonts w:hint="eastAsia" w:ascii="宋体" w:hAnsi="宋体" w:cs="宋体"/>
          <w:u w:val="single"/>
        </w:rPr>
        <w:t>合格</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关于工程奖项的约定：</w:t>
      </w:r>
      <w:r>
        <w:rPr>
          <w:rFonts w:hint="eastAsia" w:ascii="宋体" w:hAnsi="宋体" w:cs="宋体"/>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5.3 隐蔽工程检查</w:t>
      </w:r>
    </w:p>
    <w:p>
      <w:pPr>
        <w:adjustRightInd w:val="0"/>
        <w:snapToGrid w:val="0"/>
        <w:spacing w:line="360" w:lineRule="auto"/>
        <w:ind w:firstLine="480" w:firstLineChars="200"/>
        <w:jc w:val="left"/>
        <w:rPr>
          <w:rFonts w:ascii="宋体" w:hAnsi="宋体"/>
          <w:sz w:val="24"/>
        </w:rPr>
      </w:pPr>
      <w:r>
        <w:rPr>
          <w:rFonts w:ascii="宋体" w:hAnsi="宋体"/>
          <w:sz w:val="24"/>
        </w:rPr>
        <w:t>5.3.2承包人提前通知监理人隐蔽工程检查的期限的约定</w:t>
      </w:r>
      <w:r>
        <w:rPr>
          <w:rFonts w:hint="eastAsia" w:ascii="宋体" w:hAnsi="宋体"/>
          <w:sz w:val="24"/>
        </w:rPr>
        <w:t>：</w:t>
      </w:r>
      <w:r>
        <w:rPr>
          <w:rFonts w:hint="eastAsia" w:ascii="宋体" w:hAnsi="宋体"/>
          <w:sz w:val="24"/>
          <w:u w:val="single"/>
        </w:rPr>
        <w:t>24小时</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hint="eastAsia" w:ascii="宋体" w:hAnsi="宋体"/>
          <w:sz w:val="24"/>
          <w:u w:val="single"/>
        </w:rPr>
        <w:t>24</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hint="eastAsia" w:ascii="宋体" w:hAnsi="宋体"/>
          <w:sz w:val="24"/>
          <w:u w:val="single"/>
        </w:rPr>
        <w:t>48</w:t>
      </w:r>
      <w:r>
        <w:rPr>
          <w:rFonts w:ascii="宋体" w:hAnsi="宋体"/>
          <w:sz w:val="24"/>
        </w:rPr>
        <w:t>小时。</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 xml:space="preserve">   6. 安全文明施工与环境保护</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6.1安全文明施工</w:t>
      </w:r>
    </w:p>
    <w:p>
      <w:pPr>
        <w:adjustRightInd w:val="0"/>
        <w:snapToGrid w:val="0"/>
        <w:spacing w:line="360" w:lineRule="auto"/>
        <w:ind w:firstLine="480" w:firstLineChars="200"/>
        <w:jc w:val="left"/>
        <w:rPr>
          <w:rFonts w:ascii="宋体" w:hAnsi="宋体"/>
          <w:sz w:val="24"/>
        </w:rPr>
      </w:pPr>
      <w:r>
        <w:rPr>
          <w:rFonts w:ascii="宋体" w:hAnsi="宋体"/>
          <w:sz w:val="24"/>
        </w:rPr>
        <w:t>6.1.1</w:t>
      </w:r>
      <w:r>
        <w:rPr>
          <w:rFonts w:ascii="宋体" w:hAnsi="宋体"/>
          <w:color w:val="000000"/>
          <w:sz w:val="24"/>
        </w:rPr>
        <w:t xml:space="preserve"> 项目安全生产的达标目标及相应事项的约定：</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6.1.4 关于治安保卫的特别约定：</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关于编制施工场地治安管理计划的约定</w:t>
      </w:r>
      <w:r>
        <w:rPr>
          <w:rFonts w:hint="eastAsia" w:ascii="宋体" w:hAnsi="宋体"/>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sz w:val="24"/>
        </w:rPr>
      </w:pPr>
      <w:r>
        <w:rPr>
          <w:rFonts w:hint="eastAsia" w:ascii="宋体" w:hAnsi="宋体"/>
          <w:sz w:val="24"/>
        </w:rPr>
        <w:t>6.1.5 文明施工</w:t>
      </w:r>
    </w:p>
    <w:p>
      <w:pPr>
        <w:adjustRightInd w:val="0"/>
        <w:snapToGrid w:val="0"/>
        <w:spacing w:line="360" w:lineRule="auto"/>
        <w:ind w:firstLine="480" w:firstLineChars="200"/>
        <w:jc w:val="left"/>
        <w:rPr>
          <w:rFonts w:ascii="宋体" w:hAnsi="宋体"/>
          <w:sz w:val="24"/>
        </w:rPr>
      </w:pPr>
      <w:r>
        <w:rPr>
          <w:rFonts w:hint="eastAsia" w:ascii="宋体" w:hAnsi="宋体"/>
          <w:sz w:val="24"/>
        </w:rPr>
        <w:t>合同当事人对文明施工的要求：</w:t>
      </w:r>
      <w:r>
        <w:rPr>
          <w:rFonts w:hint="eastAsia" w:ascii="宋体" w:hAnsi="宋体"/>
          <w:u w:val="single"/>
        </w:rPr>
        <w:t>保证安全生产，文明施工，减少扰民降低环境污染和噪音的措施</w:t>
      </w:r>
      <w:r>
        <w:rPr>
          <w:rFonts w:hint="eastAsia"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6.1.6 关于安全文明施工费支付比例和支付期限的约定：</w:t>
      </w:r>
      <w:r>
        <w:rPr>
          <w:rFonts w:hint="eastAsia" w:ascii="宋体" w:hAnsi="宋体"/>
          <w:u w:val="single"/>
        </w:rPr>
        <w:t>现场安全文明施工措施费根据考核结果支付</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 xml:space="preserve">    7. 工期和进度</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sz w:val="24"/>
        </w:rPr>
        <w:t>7.1.</w:t>
      </w:r>
      <w:r>
        <w:rPr>
          <w:rFonts w:hint="eastAsia" w:ascii="宋体" w:hAnsi="宋体"/>
          <w:sz w:val="24"/>
        </w:rPr>
        <w:t xml:space="preserve">1 </w:t>
      </w:r>
      <w:r>
        <w:rPr>
          <w:rFonts w:hint="eastAsia" w:ascii="宋体" w:hAnsi="宋体"/>
          <w:color w:val="000000"/>
          <w:sz w:val="24"/>
        </w:rPr>
        <w:t>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7.2 施工进度计划</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7.2.2 施工进度计划的修订</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7.3 开工</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7.3.1 开工准备</w:t>
      </w:r>
    </w:p>
    <w:p>
      <w:pPr>
        <w:adjustRightInd w:val="0"/>
        <w:snapToGrid w:val="0"/>
        <w:spacing w:line="360" w:lineRule="auto"/>
        <w:ind w:firstLine="645"/>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u w:val="single"/>
        </w:rPr>
        <w:t>在工程准备工作完成后，计划开工日期前7天提交开工报审表</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color w:val="000000"/>
          <w:sz w:val="24"/>
        </w:rPr>
        <w:t>关于发包人应完成的其他开工准备工作及期限：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hint="eastAsia" w:ascii="宋体" w:hAnsi="宋体"/>
          <w:u w:val="single"/>
        </w:rPr>
        <w:t>计划开工日期前</w:t>
      </w:r>
      <w:r>
        <w:rPr>
          <w:rFonts w:ascii="宋体" w:hAnsi="宋体" w:cs="宋体"/>
          <w:u w:val="single"/>
        </w:rPr>
        <w:t>7</w:t>
      </w:r>
      <w:r>
        <w:rPr>
          <w:rFonts w:hint="eastAsia" w:ascii="宋体" w:hAnsi="宋体" w:cs="宋体"/>
          <w:u w:val="single"/>
        </w:rPr>
        <w:t>天</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7.3.2开工通知</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因发包人原因造成监理人未能在计划开工日期之日起</w:t>
      </w:r>
      <w:r>
        <w:rPr>
          <w:rFonts w:hint="eastAsia" w:ascii="宋体" w:hAnsi="宋体"/>
          <w:color w:val="000000"/>
          <w:sz w:val="24"/>
          <w:u w:val="single"/>
        </w:rPr>
        <w:t>/</w:t>
      </w:r>
      <w:r>
        <w:rPr>
          <w:rFonts w:ascii="宋体" w:hAnsi="宋体"/>
          <w:sz w:val="24"/>
          <w:u w:val="single"/>
        </w:rPr>
        <w:t xml:space="preserve"> </w:t>
      </w:r>
      <w:r>
        <w:rPr>
          <w:rFonts w:ascii="宋体" w:hAnsi="宋体"/>
          <w:color w:val="000000"/>
          <w:sz w:val="24"/>
        </w:rPr>
        <w:t>天内发出开工通知的，承包人有权提出价格调整要求，或者解除合同。</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7.4 测量放线</w:t>
      </w:r>
    </w:p>
    <w:p>
      <w:pPr>
        <w:adjustRightInd w:val="0"/>
        <w:snapToGrid w:val="0"/>
        <w:spacing w:line="360" w:lineRule="auto"/>
        <w:ind w:firstLine="480" w:firstLineChars="20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hint="eastAsia" w:ascii="宋体" w:hAnsi="宋体"/>
          <w:kern w:val="0"/>
          <w:szCs w:val="21"/>
          <w:u w:val="single"/>
        </w:rPr>
        <w:t>承包人进驻施工现场后7天内</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7.5 工期延误</w:t>
      </w:r>
    </w:p>
    <w:p>
      <w:pPr>
        <w:adjustRightInd w:val="0"/>
        <w:snapToGrid w:val="0"/>
        <w:spacing w:line="360" w:lineRule="auto"/>
        <w:ind w:firstLine="480" w:firstLineChars="200"/>
        <w:jc w:val="left"/>
        <w:rPr>
          <w:rFonts w:ascii="宋体" w:hAnsi="宋体"/>
          <w:sz w:val="24"/>
        </w:rPr>
      </w:pPr>
      <w:r>
        <w:rPr>
          <w:rFonts w:ascii="宋体" w:hAnsi="宋体"/>
          <w:sz w:val="24"/>
        </w:rPr>
        <w:t>7.5.1 因发包人原因导致工期延误</w:t>
      </w:r>
    </w:p>
    <w:p>
      <w:pPr>
        <w:adjustRightInd w:val="0"/>
        <w:snapToGrid w:val="0"/>
        <w:spacing w:line="360" w:lineRule="auto"/>
        <w:ind w:firstLine="480" w:firstLineChars="200"/>
        <w:jc w:val="left"/>
        <w:rPr>
          <w:rFonts w:ascii="宋体" w:hAnsi="宋体"/>
          <w:sz w:val="24"/>
        </w:rPr>
      </w:pPr>
      <w:r>
        <w:rPr>
          <w:rFonts w:ascii="宋体" w:hAnsi="宋体"/>
          <w:sz w:val="24"/>
        </w:rPr>
        <w:t>（7）因发包人原因导致工期延误的其他情形：</w:t>
      </w:r>
      <w:bookmarkStart w:id="103" w:name="EBe97a249140f944629a6c9bc13dd70b07"/>
      <w:r>
        <w:rPr>
          <w:rFonts w:hint="eastAsia" w:ascii="宋体" w:hAnsi="宋体"/>
          <w:u w:val="single"/>
        </w:rPr>
        <w:t>不可抗力因素、造成工期严重影响（延误10天以上）的设计变更、因地质情况引起的地基基础处理</w:t>
      </w:r>
      <w:bookmarkEnd w:id="103"/>
      <w:r>
        <w:rPr>
          <w:rFonts w:ascii="宋体" w:hAnsi="宋体"/>
          <w:color w:val="000000"/>
          <w:sz w:val="24"/>
        </w:rPr>
        <w:t>。</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7.5.2 因承包人原因导致工期延误</w:t>
      </w:r>
    </w:p>
    <w:p>
      <w:pPr>
        <w:adjustRightInd w:val="0"/>
        <w:snapToGrid w:val="0"/>
        <w:spacing w:line="360" w:lineRule="auto"/>
        <w:ind w:firstLine="480" w:firstLineChars="200"/>
        <w:jc w:val="left"/>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因承包人原因造成工期延误，逾期竣工违约金的计算方法为：</w:t>
      </w:r>
      <w:r>
        <w:rPr>
          <w:rFonts w:hint="eastAsia" w:ascii="宋体" w:hAnsi="宋体"/>
          <w:color w:val="000000" w:themeColor="text1"/>
          <w:u w:val="single"/>
          <w14:textFill>
            <w14:solidFill>
              <w14:schemeClr w14:val="tx1"/>
            </w14:solidFill>
          </w14:textFill>
        </w:rPr>
        <w:t>承包人因自身原因未能在承诺工期内完成招标范围内的全部工程内容，则按延误合同工期的天数承担（分部分项工程费+单价措施项目费-工程设备费）的0.2‰/天的逾期竣工违约金。</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因承包人原因造成工期延误，逾期竣工违约金的上限：</w:t>
      </w:r>
      <w:r>
        <w:rPr>
          <w:rFonts w:hint="eastAsia" w:ascii="宋体" w:hAnsi="宋体"/>
          <w:color w:val="000000"/>
          <w:sz w:val="24"/>
          <w:u w:val="single"/>
        </w:rPr>
        <w:t>/</w:t>
      </w:r>
      <w:r>
        <w:rPr>
          <w:rFonts w:ascii="宋体" w:hAnsi="宋体"/>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7.6 不利物质条件</w:t>
      </w:r>
    </w:p>
    <w:p>
      <w:pPr>
        <w:adjustRightInd w:val="0"/>
        <w:snapToGrid w:val="0"/>
        <w:spacing w:line="360" w:lineRule="auto"/>
        <w:ind w:firstLine="480" w:firstLineChars="200"/>
        <w:jc w:val="left"/>
        <w:rPr>
          <w:rFonts w:ascii="宋体" w:hAnsi="宋体"/>
          <w:sz w:val="24"/>
        </w:rPr>
      </w:pPr>
      <w:r>
        <w:rPr>
          <w:rFonts w:ascii="宋体" w:hAnsi="宋体"/>
          <w:sz w:val="24"/>
        </w:rPr>
        <w:t>不利物质条件的其他情形和有关约定：</w:t>
      </w:r>
      <w:r>
        <w:rPr>
          <w:rFonts w:hint="eastAsia" w:ascii="宋体" w:hAnsi="宋体" w:cs="宋体"/>
          <w:u w:val="single"/>
        </w:rPr>
        <w:t>按通用条款执行</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7.7异常恶劣的气候条件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发包人和承包人同意以下情形视为异常恶劣的气候条件：</w:t>
      </w:r>
    </w:p>
    <w:p>
      <w:pPr>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u w:val="single"/>
        </w:rPr>
        <w:t>按通用条款执行</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7.9 提前竣工的奖励</w:t>
      </w:r>
    </w:p>
    <w:p>
      <w:pPr>
        <w:adjustRightInd w:val="0"/>
        <w:snapToGrid w:val="0"/>
        <w:spacing w:line="360" w:lineRule="auto"/>
        <w:ind w:firstLine="480" w:firstLineChars="200"/>
        <w:jc w:val="left"/>
        <w:rPr>
          <w:rFonts w:ascii="宋体" w:hAnsi="宋体"/>
          <w:sz w:val="24"/>
        </w:rPr>
      </w:pPr>
      <w:r>
        <w:rPr>
          <w:rFonts w:ascii="宋体" w:hAnsi="宋体"/>
          <w:sz w:val="24"/>
        </w:rPr>
        <w:t>7.9.2提前竣工的奖励：</w:t>
      </w:r>
      <w:r>
        <w:rPr>
          <w:rFonts w:hint="eastAsia" w:ascii="宋体" w:hAnsi="宋体"/>
          <w:color w:val="000000"/>
          <w:sz w:val="24"/>
          <w:u w:val="single"/>
        </w:rPr>
        <w:t xml:space="preserve">/ </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 xml:space="preserve">    8. 材料与设备</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8.4材料与工程设备的保管与使用</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napToGrid w:val="0"/>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8.6.1</w:t>
      </w:r>
      <w:r>
        <w:rPr>
          <w:rFonts w:ascii="宋体" w:hAnsi="宋体"/>
          <w:color w:val="000000" w:themeColor="text1"/>
          <w:kern w:val="0"/>
          <w:sz w:val="24"/>
          <w14:textFill>
            <w14:solidFill>
              <w14:schemeClr w14:val="tx1"/>
            </w14:solidFill>
          </w14:textFill>
        </w:rPr>
        <w:tab/>
      </w:r>
      <w:r>
        <w:rPr>
          <w:rFonts w:ascii="宋体" w:hAnsi="宋体"/>
          <w:color w:val="000000" w:themeColor="text1"/>
          <w:kern w:val="0"/>
          <w:sz w:val="24"/>
          <w14:textFill>
            <w14:solidFill>
              <w14:schemeClr w14:val="tx1"/>
            </w14:solidFill>
          </w14:textFill>
        </w:rPr>
        <w:t>样品的报送</w:t>
      </w:r>
      <w:r>
        <w:rPr>
          <w:rFonts w:hint="eastAsia" w:ascii="宋体" w:hAnsi="宋体"/>
          <w:color w:val="000000" w:themeColor="text1"/>
          <w:kern w:val="0"/>
          <w:sz w:val="24"/>
          <w14:textFill>
            <w14:solidFill>
              <w14:schemeClr w14:val="tx1"/>
            </w14:solidFill>
          </w14:textFill>
        </w:rPr>
        <w:t>与封存</w:t>
      </w:r>
    </w:p>
    <w:p>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需要承包人报送样品的材料或工程设备，样品的种类、名称、规格、数量要求：</w:t>
      </w:r>
      <w:bookmarkStart w:id="104" w:name="EB689ded171f10418da62405f60d9ed548"/>
      <w:r>
        <w:rPr>
          <w:rFonts w:hint="eastAsia" w:ascii="宋体" w:hAnsi="宋体"/>
          <w:color w:val="000000" w:themeColor="text1"/>
          <w:u w:val="single"/>
          <w14:textFill>
            <w14:solidFill>
              <w14:schemeClr w14:val="tx1"/>
            </w14:solidFill>
          </w14:textFill>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4"/>
      <w:r>
        <w:rPr>
          <w:rFonts w:ascii="宋体" w:hAnsi="宋体"/>
          <w:color w:val="000000" w:themeColor="text1"/>
          <w:sz w:val="24"/>
          <w14:textFill>
            <w14:solidFill>
              <w14:schemeClr w14:val="tx1"/>
            </w14:solidFill>
          </w14:textFill>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8.8.1 承包人提供的施工设备和临时设施</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关于修建临时设施费用承担的约定：</w:t>
      </w:r>
      <w:bookmarkStart w:id="105" w:name="EBcf6cb69e3ee84f48b5935e4553620b81"/>
      <w:r>
        <w:rPr>
          <w:rFonts w:hint="eastAsia" w:ascii="宋体" w:hAnsi="宋体"/>
          <w:u w:val="single"/>
        </w:rPr>
        <w:t>1)需要发包人办理申请手续和承担相关费用的临时占地：均由承包人负责，已包含在投标报价的临时设施费用中</w:t>
      </w:r>
      <w:bookmarkEnd w:id="105"/>
      <w:r>
        <w:rPr>
          <w:rFonts w:hint="eastAsia" w:ascii="宋体" w:hAnsi="宋体"/>
          <w:u w:val="single"/>
        </w:rPr>
        <w:t>;2)发包人提供的施工设备和临时设施的运行、维护、拆除、清运费用的承担人：</w:t>
      </w:r>
      <w:bookmarkStart w:id="106" w:name="EBac5c9033341d4cc99749a207c4b9cbde"/>
      <w:r>
        <w:rPr>
          <w:rFonts w:hint="eastAsia" w:ascii="宋体" w:hAnsi="宋体"/>
          <w:u w:val="single"/>
        </w:rPr>
        <w:t>承包人负责接计量柜及水表，并负责使用期间的保养、维护，承担相应费用，费用已包含在总报价中</w:t>
      </w:r>
      <w:bookmarkEnd w:id="106"/>
      <w:r>
        <w:rPr>
          <w:rFonts w:hint="eastAsia" w:ascii="宋体" w:hAnsi="宋体" w:cs="宋体"/>
          <w:u w:val="single"/>
        </w:rPr>
        <w:t>。</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9. 试验与检验</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9.1试验设备与试验人员</w:t>
      </w:r>
    </w:p>
    <w:p>
      <w:pPr>
        <w:adjustRightInd w:val="0"/>
        <w:snapToGrid w:val="0"/>
        <w:spacing w:line="360" w:lineRule="auto"/>
        <w:ind w:firstLine="480" w:firstLineChars="200"/>
        <w:jc w:val="left"/>
        <w:rPr>
          <w:rFonts w:ascii="宋体" w:hAnsi="宋体"/>
          <w:sz w:val="24"/>
        </w:rPr>
      </w:pPr>
      <w:r>
        <w:rPr>
          <w:rFonts w:ascii="宋体" w:hAnsi="宋体"/>
          <w:sz w:val="24"/>
        </w:rPr>
        <w:t>9.1.2 试验设备</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施工现场需要配置的试验场所：</w:t>
      </w:r>
      <w:r>
        <w:rPr>
          <w:rFonts w:hint="eastAsia" w:ascii="宋体" w:hAnsi="宋体" w:cs="宋体"/>
          <w:u w:val="single"/>
        </w:rPr>
        <w:t>按通用条款执行</w:t>
      </w:r>
      <w:r>
        <w:rPr>
          <w:rFonts w:ascii="宋体" w:hAnsi="宋体"/>
          <w:color w:val="000000"/>
          <w:sz w:val="24"/>
        </w:rPr>
        <w:t>。</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施工现场需要配备的试验设备：</w:t>
      </w:r>
      <w:r>
        <w:rPr>
          <w:rFonts w:hint="eastAsia" w:ascii="宋体" w:hAnsi="宋体" w:cs="宋体"/>
          <w:u w:val="single"/>
        </w:rPr>
        <w:t>按通用条款执行</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sz w:val="24"/>
        </w:rPr>
        <w:t>施工现场需要具备的其他试验条件：</w:t>
      </w:r>
      <w:r>
        <w:rPr>
          <w:rFonts w:hint="eastAsia" w:ascii="宋体" w:hAnsi="宋体" w:cs="宋体"/>
          <w:u w:val="single"/>
        </w:rPr>
        <w:t>按通用条款执行</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9.4 现场工艺试验</w:t>
      </w:r>
      <w:r>
        <w:rPr>
          <w:rFonts w:hint="eastAsia" w:ascii="宋体" w:hAnsi="宋体"/>
          <w:color w:val="000000"/>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现场工艺试验的有关约定：</w:t>
      </w:r>
      <w:r>
        <w:rPr>
          <w:rFonts w:hint="eastAsia" w:ascii="宋体" w:hAnsi="宋体"/>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10. 变更</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10.1变更的范围</w:t>
      </w:r>
    </w:p>
    <w:p>
      <w:pPr>
        <w:adjustRightInd w:val="0"/>
        <w:snapToGrid w:val="0"/>
        <w:spacing w:line="360" w:lineRule="auto"/>
        <w:ind w:firstLine="600"/>
        <w:jc w:val="left"/>
        <w:rPr>
          <w:rFonts w:ascii="宋体" w:hAnsi="宋体"/>
          <w:u w:val="single"/>
        </w:rPr>
      </w:pPr>
      <w:r>
        <w:rPr>
          <w:rFonts w:ascii="宋体" w:hAnsi="宋体"/>
          <w:color w:val="000000"/>
          <w:sz w:val="24"/>
        </w:rPr>
        <w:t>关于变更的范围的约定：</w:t>
      </w:r>
      <w:r>
        <w:rPr>
          <w:rFonts w:ascii="宋体" w:hAnsi="宋体"/>
          <w:color w:val="000000"/>
          <w:sz w:val="24"/>
          <w:u w:val="single"/>
        </w:rPr>
        <w:t xml:space="preserve"> </w:t>
      </w:r>
      <w:r>
        <w:rPr>
          <w:rFonts w:ascii="宋体" w:hAnsi="宋体"/>
          <w:color w:val="0000FF"/>
          <w:u w:val="single"/>
        </w:rPr>
        <w:t xml:space="preserve"> </w:t>
      </w:r>
      <w:r>
        <w:rPr>
          <w:rFonts w:hint="eastAsia" w:ascii="宋体" w:hAnsi="宋体"/>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10.4 变更估价</w:t>
      </w:r>
    </w:p>
    <w:p>
      <w:pPr>
        <w:adjustRightInd w:val="0"/>
        <w:snapToGrid w:val="0"/>
        <w:spacing w:line="360" w:lineRule="auto"/>
        <w:ind w:firstLine="480" w:firstLineChars="200"/>
        <w:jc w:val="left"/>
        <w:rPr>
          <w:rFonts w:ascii="宋体" w:hAnsi="宋体"/>
          <w:sz w:val="24"/>
        </w:rPr>
      </w:pPr>
      <w:r>
        <w:rPr>
          <w:rFonts w:hint="eastAsia" w:ascii="宋体" w:hAnsi="宋体"/>
          <w:sz w:val="24"/>
        </w:rPr>
        <w:t>10.4.1 变更估价原则</w:t>
      </w:r>
    </w:p>
    <w:p>
      <w:pPr>
        <w:pStyle w:val="20"/>
        <w:adjustRightInd w:val="0"/>
        <w:snapToGrid w:val="0"/>
        <w:spacing w:line="360" w:lineRule="auto"/>
        <w:ind w:firstLine="424" w:firstLineChars="177"/>
        <w:rPr>
          <w:rFonts w:ascii="宋体" w:hAnsi="宋体"/>
          <w:sz w:val="24"/>
          <w:szCs w:val="24"/>
          <w:u w:val="single"/>
        </w:rPr>
      </w:pPr>
      <w:r>
        <w:rPr>
          <w:rFonts w:ascii="宋体" w:hAnsi="宋体"/>
          <w:color w:val="000000"/>
          <w:sz w:val="24"/>
          <w:szCs w:val="24"/>
        </w:rPr>
        <w:t xml:space="preserve">关于变更估价的约定: </w:t>
      </w:r>
      <w:r>
        <w:rPr>
          <w:rFonts w:hint="eastAsia" w:ascii="宋体" w:hAnsi="宋体"/>
          <w:color w:val="000000"/>
          <w:sz w:val="24"/>
          <w:szCs w:val="24"/>
          <w:u w:val="single"/>
        </w:rPr>
        <w:t xml:space="preserve">  </w:t>
      </w:r>
      <w:r>
        <w:rPr>
          <w:rFonts w:hint="eastAsia" w:ascii="宋体" w:hAnsi="宋体"/>
          <w:color w:val="000000"/>
          <w:sz w:val="24"/>
          <w:u w:val="single"/>
        </w:rPr>
        <w:t>/</w:t>
      </w:r>
      <w:r>
        <w:rPr>
          <w:rFonts w:hint="eastAsia" w:ascii="宋体" w:hAnsi="宋体"/>
          <w:color w:val="000000"/>
          <w:sz w:val="24"/>
          <w:szCs w:val="24"/>
          <w:u w:val="single"/>
        </w:rPr>
        <w:t xml:space="preserve"> 。</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10.5承包人的合理化建议</w:t>
      </w:r>
    </w:p>
    <w:p>
      <w:pPr>
        <w:adjustRightInd w:val="0"/>
        <w:snapToGrid w:val="0"/>
        <w:spacing w:line="360" w:lineRule="auto"/>
        <w:ind w:firstLine="480" w:firstLineChars="200"/>
        <w:jc w:val="left"/>
        <w:rPr>
          <w:rFonts w:ascii="宋体" w:hAnsi="宋体"/>
          <w:sz w:val="24"/>
        </w:rPr>
      </w:pPr>
      <w:r>
        <w:rPr>
          <w:rFonts w:ascii="宋体" w:hAnsi="宋体"/>
          <w:sz w:val="24"/>
        </w:rPr>
        <w:t>监理人审查承包人合理化建议的期限：</w:t>
      </w:r>
      <w:r>
        <w:rPr>
          <w:rFonts w:hint="eastAsia" w:ascii="宋体" w:hAnsi="宋体"/>
          <w:color w:val="000000"/>
          <w:sz w:val="24"/>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sz w:val="24"/>
        </w:rPr>
      </w:pPr>
      <w:r>
        <w:rPr>
          <w:rFonts w:ascii="宋体" w:hAnsi="宋体"/>
          <w:sz w:val="24"/>
        </w:rPr>
        <w:t>发包人审批承包人合理化建议的期限：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color w:val="000000"/>
          <w:sz w:val="24"/>
        </w:rPr>
        <w:t>10.7 暂估价</w:t>
      </w:r>
      <w:r>
        <w:rPr>
          <w:rFonts w:ascii="宋体" w:hAnsi="宋体"/>
          <w:sz w:val="24"/>
        </w:rPr>
        <w:t>：</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10.8 暂列金额</w:t>
      </w:r>
      <w:r>
        <w:rPr>
          <w:rFonts w:ascii="宋体" w:hAnsi="宋体"/>
          <w:sz w:val="24"/>
        </w:rPr>
        <w:t>：</w:t>
      </w:r>
      <w:r>
        <w:rPr>
          <w:rFonts w:hint="eastAsia" w:ascii="宋体" w:hAnsi="宋体"/>
          <w:color w:val="000000"/>
          <w:sz w:val="24"/>
          <w:u w:val="single"/>
        </w:rPr>
        <w:t xml:space="preserve">/ </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11. 价格调整</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11.1 市场价格波动引起的调整</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000000"/>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12. 合同价格、计量与支付</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12.1 合同价格形式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w:t>
      </w:r>
      <w:r>
        <w:rPr>
          <w:rFonts w:hint="eastAsia" w:ascii="宋体" w:hAnsi="宋体"/>
          <w:color w:val="000000"/>
          <w:sz w:val="24"/>
        </w:rPr>
        <w:t>固定费率</w:t>
      </w:r>
      <w:r>
        <w:rPr>
          <w:rFonts w:ascii="宋体" w:hAnsi="宋体"/>
          <w:color w:val="000000"/>
          <w:sz w:val="24"/>
        </w:rPr>
        <w:t>合同。</w:t>
      </w:r>
    </w:p>
    <w:p>
      <w:pPr>
        <w:adjustRightInd w:val="0"/>
        <w:snapToGrid w:val="0"/>
        <w:spacing w:line="360" w:lineRule="auto"/>
        <w:ind w:firstLine="480" w:firstLineChars="200"/>
        <w:jc w:val="left"/>
        <w:rPr>
          <w:rFonts w:ascii="宋体" w:hAnsi="宋体"/>
          <w:sz w:val="24"/>
        </w:rPr>
      </w:pPr>
      <w:r>
        <w:rPr>
          <w:rFonts w:ascii="宋体" w:hAnsi="宋体"/>
          <w:color w:val="000000"/>
          <w:sz w:val="24"/>
        </w:rPr>
        <w:t>风险范围以外合同价格的调整方法：</w:t>
      </w:r>
      <w:r>
        <w:rPr>
          <w:rFonts w:hint="eastAsia" w:ascii="宋体" w:hAnsi="宋体"/>
          <w:u w:val="single"/>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总价包含的风险范围：</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风险费用的计算方法：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风险范围以外合同价格的调整方法：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3、其他价格方式：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12.2 预付款</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12.2.1 预付款的支付</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12.2.2 预付款担保</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12.3 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12.3.1 计量原则</w:t>
      </w:r>
    </w:p>
    <w:p>
      <w:pPr>
        <w:adjustRightInd w:val="0"/>
        <w:snapToGrid w:val="0"/>
        <w:spacing w:line="360" w:lineRule="auto"/>
        <w:ind w:firstLine="480" w:firstLineChars="200"/>
        <w:jc w:val="left"/>
        <w:rPr>
          <w:rFonts w:ascii="宋体" w:hAnsi="宋体"/>
          <w:sz w:val="24"/>
        </w:rPr>
      </w:pPr>
      <w:r>
        <w:rPr>
          <w:rFonts w:ascii="宋体" w:hAnsi="宋体"/>
          <w:color w:val="000000"/>
          <w:sz w:val="24"/>
        </w:rPr>
        <w:t>工程量计算规则：</w:t>
      </w:r>
      <w:r>
        <w:rPr>
          <w:rFonts w:hint="eastAsia" w:ascii="宋体" w:hAnsi="宋体"/>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12.3.2 计量周期</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u w:val="single"/>
        </w:rPr>
        <w:t>合同的计量周期为月，每月25日为当月计量截止日期(不含当日)和下月计量起始日期(含当日)</w:t>
      </w:r>
      <w:r>
        <w:rPr>
          <w:rFonts w:hint="eastAsia" w:ascii="宋体" w:hAnsi="宋体"/>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12.3.3 单价合同的计量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关于单价合同计量的约定：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12.3.4 总价合同的计量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关于总价合同计量的约定：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sz w:val="24"/>
        </w:rPr>
        <w:t>约定</w:t>
      </w:r>
      <w:r>
        <w:rPr>
          <w:rFonts w:hint="eastAsia" w:ascii="宋体" w:hAnsi="宋体"/>
          <w:color w:val="000000"/>
          <w:sz w:val="24"/>
        </w:rPr>
        <w:t>进行计量：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12.3.6 其他价格形式合同的计量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12.4 工程进度款支付</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12.4.1 付款周期</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关于付款周期的约定：</w:t>
      </w:r>
      <w:r>
        <w:rPr>
          <w:rFonts w:hint="eastAsia" w:ascii="宋体" w:hAnsi="宋体"/>
          <w:color w:val="0000FF"/>
          <w:u w:val="single"/>
        </w:rPr>
        <w:t>/</w:t>
      </w:r>
      <w:r>
        <w:rPr>
          <w:rFonts w:ascii="宋体" w:hAnsi="宋体"/>
          <w:color w:val="0000FF"/>
          <w:u w:val="single"/>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12.4.2 进度付款申请单的编制</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关于进度付款申请单编制的约定：</w:t>
      </w:r>
      <w:r>
        <w:rPr>
          <w:rFonts w:hint="eastAsia" w:ascii="宋体" w:hAnsi="宋体"/>
          <w:color w:val="0000FF"/>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12.4.3 进度付款申请单的提交</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s="宋体"/>
          <w:color w:val="0000FF"/>
          <w:u w:val="single"/>
        </w:rPr>
        <w:t>/</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12.4.4 进度款审核和支付</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sz w:val="24"/>
        </w:rPr>
        <w:t>（1）监理人审查并报送发包人的期限：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发包人完成审批并签发进度款支付证书的期限：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（2）发包人支付进度款的期限：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600" w:firstLineChars="250"/>
        <w:jc w:val="left"/>
        <w:rPr>
          <w:rFonts w:ascii="宋体" w:hAnsi="宋体"/>
          <w:color w:val="000000"/>
          <w:sz w:val="24"/>
        </w:rPr>
      </w:pPr>
      <w:r>
        <w:rPr>
          <w:rFonts w:ascii="宋体" w:hAnsi="宋体"/>
          <w:color w:val="000000"/>
          <w:sz w:val="24"/>
        </w:rPr>
        <w:t>发包人逾期支付进度款的违约金的计算方式：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600" w:firstLineChars="250"/>
        <w:jc w:val="left"/>
        <w:rPr>
          <w:rFonts w:ascii="宋体" w:hAnsi="宋体"/>
          <w:color w:val="000000"/>
          <w:sz w:val="24"/>
        </w:rPr>
      </w:pPr>
      <w:r>
        <w:rPr>
          <w:rFonts w:ascii="宋体" w:hAnsi="宋体"/>
          <w:color w:val="000000"/>
          <w:sz w:val="24"/>
        </w:rPr>
        <w:t>12.4.6 支付分解表的编制</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 xml:space="preserve"> 工程款支付</w:t>
      </w:r>
    </w:p>
    <w:p>
      <w:pPr>
        <w:adjustRightInd w:val="0"/>
        <w:snapToGrid w:val="0"/>
        <w:spacing w:line="360" w:lineRule="auto"/>
        <w:ind w:firstLine="315" w:firstLineChars="15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双方约定的工程款（进度款）支付的方式和时间：</w:t>
      </w:r>
    </w:p>
    <w:p>
      <w:pPr>
        <w:adjustRightInd w:val="0"/>
        <w:snapToGrid w:val="0"/>
        <w:spacing w:line="360" w:lineRule="auto"/>
        <w:ind w:firstLine="315" w:firstLineChars="15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（1）</w:t>
      </w:r>
      <w:r>
        <w:rPr>
          <w:rFonts w:ascii="宋体" w:hAnsi="宋体"/>
          <w:color w:val="000000" w:themeColor="text1"/>
          <w:szCs w:val="21"/>
          <w:u w:val="single"/>
          <w14:textFill>
            <w14:solidFill>
              <w14:schemeClr w14:val="tx1"/>
            </w14:solidFill>
          </w14:textFill>
        </w:rPr>
        <w:t>竣工验收合格后付合同价的40%，审计后满一年付至审定价的70%，审计后满二年付清</w:t>
      </w:r>
      <w:r>
        <w:rPr>
          <w:rFonts w:hint="eastAsia" w:ascii="宋体" w:hAnsi="宋体"/>
          <w:color w:val="000000" w:themeColor="text1"/>
          <w:szCs w:val="21"/>
          <w:u w:val="single"/>
          <w14:textFill>
            <w14:solidFill>
              <w14:schemeClr w14:val="tx1"/>
            </w14:solidFill>
          </w14:textFill>
        </w:rPr>
        <w:t>。乙方必须开具增值税普通发票（以招标控制价核定的税率为准）。</w:t>
      </w:r>
    </w:p>
    <w:p>
      <w:pPr>
        <w:adjustRightInd w:val="0"/>
        <w:snapToGrid w:val="0"/>
        <w:spacing w:line="360" w:lineRule="auto"/>
        <w:ind w:firstLine="315" w:firstLineChars="150"/>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lang w:bidi="ar"/>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pPr>
        <w:adjustRightInd w:val="0"/>
        <w:snapToGrid w:val="0"/>
        <w:spacing w:line="360" w:lineRule="auto"/>
        <w:ind w:firstLine="283" w:firstLineChars="135"/>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lang w:bidi="ar"/>
          <w14:textFill>
            <w14:solidFill>
              <w14:schemeClr w14:val="tx1"/>
            </w14:solidFill>
          </w14:textFill>
        </w:rPr>
        <w:t>（3）工程审计由建设方委托，审计模式由委托方确定。</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13.</w:t>
      </w:r>
      <w:r>
        <w:rPr>
          <w:rFonts w:hint="eastAsia" w:ascii="宋体" w:hAnsi="宋体" w:eastAsia="宋体"/>
          <w:b w:val="0"/>
          <w:color w:val="000000"/>
          <w:sz w:val="24"/>
        </w:rPr>
        <w:t xml:space="preserve"> </w:t>
      </w:r>
      <w:r>
        <w:rPr>
          <w:rFonts w:ascii="宋体" w:hAnsi="宋体" w:eastAsia="宋体"/>
          <w:b w:val="0"/>
          <w:color w:val="000000"/>
          <w:sz w:val="24"/>
        </w:rPr>
        <w:t>验收和工程试车</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13.1 分部分项工程验收</w:t>
      </w:r>
    </w:p>
    <w:p>
      <w:pPr>
        <w:adjustRightInd w:val="0"/>
        <w:snapToGrid w:val="0"/>
        <w:spacing w:line="360" w:lineRule="auto"/>
        <w:ind w:firstLine="480" w:firstLineChars="20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hint="eastAsia" w:ascii="宋体" w:hAnsi="宋体"/>
          <w:color w:val="000000"/>
          <w:sz w:val="24"/>
          <w:u w:val="single"/>
        </w:rPr>
        <w:t xml:space="preserve">∥ </w:t>
      </w:r>
      <w:r>
        <w:rPr>
          <w:rFonts w:ascii="宋体" w:hAnsi="宋体"/>
          <w:sz w:val="24"/>
          <w:u w:val="single"/>
        </w:rPr>
        <w:t xml:space="preserve"> </w:t>
      </w:r>
      <w:r>
        <w:rPr>
          <w:rFonts w:ascii="宋体" w:hAnsi="宋体"/>
          <w:sz w:val="24"/>
        </w:rPr>
        <w:t>小时提交书面延期要求。</w:t>
      </w:r>
    </w:p>
    <w:p>
      <w:pPr>
        <w:adjustRightInd w:val="0"/>
        <w:snapToGrid w:val="0"/>
        <w:spacing w:line="360" w:lineRule="auto"/>
        <w:ind w:firstLine="480" w:firstLineChars="200"/>
        <w:jc w:val="left"/>
        <w:rPr>
          <w:rFonts w:ascii="宋体" w:hAnsi="宋体"/>
          <w:b/>
          <w:color w:val="000000"/>
          <w:sz w:val="24"/>
        </w:rPr>
      </w:pPr>
      <w:r>
        <w:rPr>
          <w:rFonts w:ascii="宋体" w:hAnsi="宋体"/>
          <w:sz w:val="24"/>
        </w:rPr>
        <w:t>关于延期最长不得超过：</w:t>
      </w:r>
      <w:r>
        <w:rPr>
          <w:rFonts w:ascii="宋体" w:hAnsi="宋体"/>
          <w:sz w:val="24"/>
          <w:u w:val="single"/>
        </w:rPr>
        <w:t xml:space="preserve"> </w:t>
      </w:r>
      <w:r>
        <w:rPr>
          <w:rFonts w:hint="eastAsia" w:ascii="宋体" w:hAnsi="宋体"/>
          <w:color w:val="000000"/>
          <w:sz w:val="24"/>
          <w:u w:val="single"/>
        </w:rPr>
        <w:t xml:space="preserve">∥ </w:t>
      </w:r>
      <w:r>
        <w:rPr>
          <w:rFonts w:ascii="宋体" w:hAnsi="宋体"/>
          <w:sz w:val="24"/>
          <w:u w:val="single"/>
        </w:rPr>
        <w:t xml:space="preserve"> </w:t>
      </w:r>
      <w:r>
        <w:rPr>
          <w:rFonts w:ascii="宋体" w:hAnsi="宋体"/>
          <w:sz w:val="24"/>
        </w:rPr>
        <w:t>小时。</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13.2 竣工验收</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13.2.2竣工验收程序</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关于竣工验收程序的约定：</w:t>
      </w:r>
      <w:r>
        <w:rPr>
          <w:rFonts w:hint="eastAsia" w:ascii="宋体" w:hAnsi="宋体"/>
          <w:color w:val="000000" w:themeColor="text1"/>
          <w:szCs w:val="21"/>
          <w:u w:val="single"/>
          <w14:textFill>
            <w14:solidFill>
              <w14:schemeClr w14:val="tx1"/>
            </w14:solidFill>
          </w14:textFill>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13.2.5移交、接收全部与部分工程</w:t>
      </w: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承包人向发包人移交工程的期限：</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sz w:val="24"/>
          <w:u w:val="single"/>
        </w:rPr>
      </w:pPr>
      <w:r>
        <w:rPr>
          <w:rFonts w:ascii="宋体" w:hAnsi="宋体"/>
          <w:color w:val="000000"/>
          <w:kern w:val="0"/>
          <w:sz w:val="24"/>
        </w:rPr>
        <w:t>发包人未按本合同约定接收全部或部分工程的，违约金的计算方法为：</w:t>
      </w:r>
      <w:r>
        <w:rPr>
          <w:rFonts w:hint="eastAsia" w:ascii="宋体" w:hAnsi="宋体" w:cs="宋体"/>
          <w:sz w:val="24"/>
          <w:u w:val="single"/>
        </w:rPr>
        <w:t>根据发包人要求执行</w:t>
      </w:r>
      <w:r>
        <w:rPr>
          <w:rFonts w:ascii="宋体" w:hAnsi="宋体"/>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color w:val="000000"/>
          <w:sz w:val="24"/>
          <w:u w:val="single"/>
        </w:rPr>
        <w:t>/</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13.3 工程试车</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工程试车内容：</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承担；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adjustRightInd w:val="0"/>
        <w:snapToGri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13.6 竣工退场</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14. 竣工结算</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adjustRightInd w:val="0"/>
        <w:snapToGrid w:val="0"/>
        <w:spacing w:line="360" w:lineRule="auto"/>
        <w:ind w:firstLine="480" w:firstLineChars="200"/>
        <w:jc w:val="left"/>
        <w:rPr>
          <w:rFonts w:ascii="宋体" w:hAnsi="宋体"/>
          <w:color w:val="000000"/>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color w:val="000000"/>
          <w:sz w:val="24"/>
          <w:u w:val="single"/>
        </w:rPr>
        <w:t>/</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color w:val="000000"/>
          <w:sz w:val="24"/>
        </w:rPr>
        <w:t>竣工</w:t>
      </w:r>
      <w:r>
        <w:rPr>
          <w:rFonts w:hint="eastAsia" w:ascii="宋体" w:hAnsi="宋体"/>
          <w:color w:val="000000"/>
          <w:sz w:val="24"/>
        </w:rPr>
        <w:t>结算</w:t>
      </w:r>
      <w:r>
        <w:rPr>
          <w:rFonts w:ascii="宋体" w:hAnsi="宋体"/>
          <w:color w:val="000000"/>
          <w:sz w:val="24"/>
        </w:rPr>
        <w:t>申请单应包括的内容：</w:t>
      </w:r>
      <w:r>
        <w:rPr>
          <w:rFonts w:hint="eastAsia" w:ascii="宋体" w:hAnsi="宋体"/>
          <w:color w:val="000000"/>
          <w:sz w:val="24"/>
          <w:u w:val="single"/>
        </w:rPr>
        <w:t xml:space="preserve">/ </w:t>
      </w:r>
      <w:r>
        <w:rPr>
          <w:rFonts w:ascii="宋体" w:hAnsi="宋体"/>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14.2 竣工结算审核</w:t>
      </w:r>
    </w:p>
    <w:p>
      <w:pPr>
        <w:adjustRightInd w:val="0"/>
        <w:snapToGrid w:val="0"/>
        <w:spacing w:line="360" w:lineRule="auto"/>
        <w:ind w:firstLine="480" w:firstLineChars="20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sz w:val="24"/>
        </w:rPr>
        <w:t>发包人完成竣工付款的期限：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关于竣工付款证书异议部分复核的方式和程序：</w:t>
      </w:r>
      <w:r>
        <w:rPr>
          <w:rFonts w:hint="eastAsia" w:ascii="宋体" w:hAnsi="宋体"/>
          <w:color w:val="000000"/>
          <w:sz w:val="24"/>
          <w:u w:val="single"/>
        </w:rPr>
        <w:t xml:space="preserve">/ </w:t>
      </w:r>
      <w:r>
        <w:rPr>
          <w:rFonts w:ascii="宋体" w:hAnsi="宋体"/>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14.4 最终结清</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color w:val="000000"/>
          <w:kern w:val="0"/>
          <w:sz w:val="24"/>
        </w:rPr>
        <w:t>承包人提交最终结算申请单的期限：</w:t>
      </w:r>
      <w:r>
        <w:rPr>
          <w:rFonts w:hint="eastAsia" w:ascii="宋体" w:hAnsi="宋体"/>
          <w:color w:val="000000"/>
          <w:sz w:val="24"/>
          <w:u w:val="single"/>
        </w:rPr>
        <w:t>/</w:t>
      </w:r>
      <w:r>
        <w:rPr>
          <w:rFonts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ascii="宋体" w:hAnsi="宋体"/>
          <w:sz w:val="24"/>
        </w:rPr>
        <w:t>14.4.2 最终结清证书和支付</w:t>
      </w:r>
    </w:p>
    <w:p>
      <w:pPr>
        <w:adjustRightInd w:val="0"/>
        <w:snapToGrid w:val="0"/>
        <w:spacing w:line="360" w:lineRule="auto"/>
        <w:ind w:firstLine="480" w:firstLineChars="20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并颁发最终结清证书的期限：</w:t>
      </w:r>
      <w:r>
        <w:rPr>
          <w:rFonts w:hint="eastAsia" w:ascii="宋体" w:hAnsi="宋体"/>
          <w:color w:val="000000"/>
          <w:sz w:val="24"/>
          <w:u w:val="single"/>
        </w:rPr>
        <w:t xml:space="preserve">/ </w:t>
      </w:r>
      <w:r>
        <w:rPr>
          <w:rFonts w:ascii="宋体" w:hAnsi="宋体"/>
          <w:sz w:val="24"/>
        </w:rPr>
        <w:t>。</w:t>
      </w:r>
    </w:p>
    <w:p>
      <w:pPr>
        <w:adjustRightInd w:val="0"/>
        <w:snapToGrid w:val="0"/>
        <w:spacing w:line="360" w:lineRule="auto"/>
        <w:ind w:firstLine="480" w:firstLineChars="200"/>
        <w:jc w:val="left"/>
        <w:rPr>
          <w:rFonts w:ascii="宋体" w:hAnsi="宋体"/>
          <w:sz w:val="24"/>
        </w:rPr>
      </w:pPr>
      <w:r>
        <w:rPr>
          <w:rFonts w:ascii="宋体" w:hAnsi="宋体"/>
          <w:sz w:val="24"/>
        </w:rPr>
        <w:t>（2）发包人完成支付的期限：</w:t>
      </w:r>
      <w:r>
        <w:rPr>
          <w:rFonts w:hint="eastAsia" w:ascii="宋体" w:hAnsi="宋体"/>
          <w:color w:val="000000"/>
          <w:sz w:val="24"/>
          <w:u w:val="single"/>
        </w:rPr>
        <w:t>/</w:t>
      </w:r>
      <w:r>
        <w:rPr>
          <w:rFonts w:ascii="宋体" w:hAnsi="宋体"/>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themeColor="text1"/>
          <w:sz w:val="24"/>
          <w14:textFill>
            <w14:solidFill>
              <w14:schemeClr w14:val="tx1"/>
            </w14:solidFill>
          </w14:textFill>
        </w:rPr>
      </w:pPr>
      <w:r>
        <w:rPr>
          <w:rFonts w:ascii="宋体" w:hAnsi="宋体" w:eastAsia="宋体"/>
          <w:b w:val="0"/>
          <w:color w:val="000000"/>
          <w:sz w:val="24"/>
        </w:rPr>
        <w:t>15.</w:t>
      </w:r>
      <w:r>
        <w:rPr>
          <w:rFonts w:ascii="宋体" w:hAnsi="宋体" w:eastAsia="宋体"/>
          <w:b w:val="0"/>
          <w:color w:val="000000" w:themeColor="text1"/>
          <w:sz w:val="24"/>
          <w14:textFill>
            <w14:solidFill>
              <w14:schemeClr w14:val="tx1"/>
            </w14:solidFill>
          </w14:textFill>
        </w:rPr>
        <w:t xml:space="preserve"> 缺陷责任期与保修</w:t>
      </w:r>
    </w:p>
    <w:p>
      <w:pPr>
        <w:adjustRightInd w:val="0"/>
        <w:snapToGrid w:val="0"/>
        <w:spacing w:after="12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15.2缺陷责任期</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缺陷责任期的具体期限：</w:t>
      </w:r>
      <w:r>
        <w:rPr>
          <w:rFonts w:hint="eastAsia" w:ascii="宋体" w:hAnsi="宋体"/>
          <w:color w:val="000000" w:themeColor="text1"/>
          <w:sz w:val="24"/>
          <w:u w:val="single"/>
          <w14:textFill>
            <w14:solidFill>
              <w14:schemeClr w14:val="tx1"/>
            </w14:solidFill>
          </w14:textFill>
        </w:rPr>
        <w:t>两年</w:t>
      </w:r>
      <w:r>
        <w:rPr>
          <w:rFonts w:ascii="宋体" w:hAnsi="宋体"/>
          <w:color w:val="000000" w:themeColor="text1"/>
          <w:sz w:val="24"/>
          <w14:textFill>
            <w14:solidFill>
              <w14:schemeClr w14:val="tx1"/>
            </w14:solidFill>
          </w14:textFill>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15.3 质量保证金</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关于是否扣留质量保证金的约定：</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在工程项目竣工前，承包人按专用合同条款第3.7条提供履约担保的，发包人不得同时预留工程质量保证金。</w:t>
      </w:r>
    </w:p>
    <w:p>
      <w:pPr>
        <w:adjustRightInd w:val="0"/>
        <w:snapToGrid w:val="0"/>
        <w:spacing w:line="360" w:lineRule="auto"/>
        <w:ind w:firstLine="480" w:firstLineChars="200"/>
        <w:jc w:val="left"/>
        <w:rPr>
          <w:rFonts w:ascii="宋体" w:hAnsi="宋体"/>
          <w:color w:val="000000"/>
          <w:sz w:val="24"/>
        </w:rPr>
      </w:pP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 xml:space="preserve">15.3.1 </w:t>
      </w:r>
      <w:r>
        <w:rPr>
          <w:rFonts w:hint="eastAsia" w:ascii="宋体" w:hAnsi="宋体"/>
          <w:color w:val="000000"/>
          <w:sz w:val="24"/>
        </w:rPr>
        <w:t>承包人提供</w:t>
      </w:r>
      <w:r>
        <w:rPr>
          <w:rFonts w:ascii="宋体" w:hAnsi="宋体"/>
          <w:color w:val="000000"/>
          <w:sz w:val="24"/>
        </w:rPr>
        <w:t>质量保证金的</w:t>
      </w:r>
      <w:r>
        <w:rPr>
          <w:rFonts w:hint="eastAsia" w:ascii="宋体" w:hAnsi="宋体"/>
          <w:color w:val="000000"/>
          <w:sz w:val="24"/>
        </w:rPr>
        <w:t>方</w:t>
      </w:r>
      <w:r>
        <w:rPr>
          <w:rFonts w:ascii="宋体" w:hAnsi="宋体"/>
          <w:color w:val="000000"/>
          <w:sz w:val="24"/>
        </w:rPr>
        <w:t>式</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种方式：</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（1）质量保证金保函，保证金额为：</w:t>
      </w:r>
      <w:r>
        <w:rPr>
          <w:rFonts w:hint="eastAsia" w:ascii="宋体" w:hAnsi="宋体"/>
          <w:color w:val="000000"/>
          <w:sz w:val="24"/>
          <w:u w:val="single"/>
        </w:rPr>
        <w:t xml:space="preserve">∥ </w:t>
      </w:r>
      <w:r>
        <w:rPr>
          <w:rFonts w:ascii="宋体" w:hAnsi="宋体"/>
          <w:color w:val="000000"/>
          <w:kern w:val="0"/>
          <w:sz w:val="24"/>
        </w:rPr>
        <w:t xml:space="preserve">； </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hint="eastAsia" w:ascii="宋体" w:hAnsi="宋体"/>
          <w:color w:val="00000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工程款；</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（3）其他</w:t>
      </w:r>
      <w:r>
        <w:rPr>
          <w:rFonts w:hint="eastAsia" w:ascii="宋体" w:hAnsi="宋体"/>
          <w:color w:val="000000"/>
          <w:kern w:val="0"/>
          <w:sz w:val="24"/>
        </w:rPr>
        <w:t>方</w:t>
      </w:r>
      <w:r>
        <w:rPr>
          <w:rFonts w:ascii="宋体" w:hAnsi="宋体"/>
          <w:color w:val="000000"/>
          <w:kern w:val="0"/>
          <w:sz w:val="24"/>
        </w:rPr>
        <w:t>式:</w:t>
      </w:r>
      <w:r>
        <w:rPr>
          <w:rFonts w:hint="eastAsia"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 xml:space="preserve">15.3.2 质量保证金的扣留 </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种方式：</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napToGrid w:val="0"/>
        <w:spacing w:line="360" w:lineRule="auto"/>
        <w:ind w:firstLine="480" w:firstLineChars="200"/>
        <w:jc w:val="left"/>
        <w:outlineLvl w:val="0"/>
        <w:rPr>
          <w:rFonts w:ascii="宋体" w:hAnsi="宋体"/>
          <w:color w:val="000000"/>
          <w:kern w:val="0"/>
          <w:sz w:val="24"/>
        </w:rPr>
      </w:pPr>
      <w:r>
        <w:rPr>
          <w:rFonts w:ascii="宋体" w:hAnsi="宋体"/>
          <w:color w:val="000000"/>
          <w:kern w:val="0"/>
          <w:sz w:val="24"/>
        </w:rPr>
        <w:t>（2）工程竣工结算时一次性扣留质量保证金；</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（3）其他扣留方式:</w:t>
      </w:r>
      <w:r>
        <w:rPr>
          <w:rFonts w:hint="eastAsia" w:ascii="宋体" w:hAnsi="宋体"/>
          <w:color w:val="000000"/>
          <w:sz w:val="24"/>
          <w:u w:val="single"/>
        </w:rPr>
        <w:t xml:space="preserve"> ∥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关于质量保证金的补充约定：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15.4保修</w:t>
      </w:r>
    </w:p>
    <w:p>
      <w:pPr>
        <w:adjustRightInd w:val="0"/>
        <w:snapToGrid w:val="0"/>
        <w:spacing w:line="360" w:lineRule="auto"/>
        <w:ind w:firstLine="468" w:firstLineChars="195"/>
        <w:jc w:val="left"/>
        <w:rPr>
          <w:rFonts w:ascii="宋体" w:hAnsi="宋体"/>
          <w:color w:val="000000"/>
          <w:sz w:val="24"/>
        </w:rPr>
      </w:pPr>
      <w:r>
        <w:rPr>
          <w:rFonts w:ascii="宋体" w:hAnsi="宋体"/>
          <w:color w:val="000000"/>
          <w:sz w:val="24"/>
        </w:rPr>
        <w:t>15.4.1 保修责任</w:t>
      </w:r>
    </w:p>
    <w:p>
      <w:pPr>
        <w:adjustRightInd w:val="0"/>
        <w:snapToGrid w:val="0"/>
        <w:spacing w:line="360" w:lineRule="auto"/>
        <w:ind w:firstLine="468" w:firstLineChars="195"/>
        <w:jc w:val="left"/>
        <w:rPr>
          <w:rFonts w:ascii="宋体" w:hAnsi="宋体"/>
          <w:color w:val="000000"/>
          <w:kern w:val="0"/>
          <w:sz w:val="24"/>
        </w:rPr>
      </w:pPr>
      <w:r>
        <w:rPr>
          <w:rFonts w:ascii="宋体" w:hAnsi="宋体"/>
          <w:color w:val="000000"/>
          <w:sz w:val="24"/>
        </w:rPr>
        <w:t>工程保修期为：</w:t>
      </w:r>
      <w:r>
        <w:rPr>
          <w:rFonts w:hint="eastAsia" w:ascii="宋体" w:hAnsi="宋体"/>
          <w:color w:val="000000"/>
          <w:kern w:val="0"/>
          <w:sz w:val="24"/>
          <w:u w:val="single"/>
        </w:rPr>
        <w:t xml:space="preserve">        </w:t>
      </w:r>
    </w:p>
    <w:p>
      <w:pPr>
        <w:adjustRightInd w:val="0"/>
        <w:snapToGrid w:val="0"/>
        <w:spacing w:line="360" w:lineRule="auto"/>
        <w:ind w:firstLine="468" w:firstLineChars="195"/>
        <w:jc w:val="left"/>
        <w:rPr>
          <w:rFonts w:ascii="宋体" w:hAnsi="宋体"/>
          <w:color w:val="000000"/>
          <w:sz w:val="24"/>
        </w:rPr>
      </w:pPr>
      <w:r>
        <w:rPr>
          <w:rFonts w:ascii="宋体" w:hAnsi="宋体"/>
          <w:color w:val="000000"/>
          <w:sz w:val="24"/>
        </w:rPr>
        <w:t>15.4.3 修复通知</w:t>
      </w:r>
    </w:p>
    <w:p>
      <w:pPr>
        <w:adjustRightInd w:val="0"/>
        <w:snapToGrid w:val="0"/>
        <w:spacing w:line="36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16. 违约</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16.1 发包人违约</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16.1.1发包人违约的情形</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发包人违约的其他情形：</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sz w:val="24"/>
          <w:u w:val="single"/>
        </w:rPr>
        <w:t>∥</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16.2 承包人违约</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承包人违约的其他情形：</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hint="eastAsia"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16.2.3 因承包人违约解除合同</w:t>
      </w:r>
    </w:p>
    <w:p>
      <w:pPr>
        <w:adjustRightInd w:val="0"/>
        <w:snapToGrid w:val="0"/>
        <w:spacing w:before="120" w:after="120" w:line="360" w:lineRule="auto"/>
        <w:ind w:firstLine="480" w:firstLineChars="200"/>
        <w:rPr>
          <w:rFonts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before="120" w:after="120" w:line="36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sz w:val="24"/>
          <w:u w:val="single"/>
        </w:rPr>
        <w:t xml:space="preserve">∥ </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 xml:space="preserve">17. 不可抗力 </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17.1 不可抗力的确认</w:t>
      </w:r>
    </w:p>
    <w:p>
      <w:pPr>
        <w:adjustRightInd w:val="0"/>
        <w:snapToGrid w:val="0"/>
        <w:spacing w:line="360" w:lineRule="auto"/>
        <w:ind w:firstLine="480" w:firstLineChars="20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hint="eastAsia" w:ascii="宋体" w:hAnsi="宋体"/>
          <w:color w:val="000000"/>
          <w:sz w:val="24"/>
          <w:u w:val="single"/>
        </w:rPr>
        <w:t xml:space="preserve">∥ </w:t>
      </w:r>
      <w:r>
        <w:rPr>
          <w:rFonts w:ascii="宋体" w:hAnsi="宋体"/>
          <w:color w:val="000000"/>
          <w:kern w:val="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17.4 因不可抗力解除合同</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 xml:space="preserve">∥ </w:t>
      </w:r>
      <w:r>
        <w:rPr>
          <w:rFonts w:ascii="宋体" w:hAnsi="宋体"/>
          <w:color w:val="000000"/>
          <w:sz w:val="24"/>
        </w:rPr>
        <w:t>天内完成款项的支付。</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18. 保险</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18.1 工程保险</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18.3 其他保险</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18.7 通知义务</w:t>
      </w:r>
    </w:p>
    <w:p>
      <w:pPr>
        <w:adjustRightInd w:val="0"/>
        <w:snapToGrid w:val="0"/>
        <w:spacing w:line="36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 xml:space="preserve">∥ </w:t>
      </w:r>
      <w:r>
        <w:rPr>
          <w:rFonts w:ascii="宋体" w:hAnsi="宋体"/>
          <w:color w:val="000000"/>
          <w:sz w:val="24"/>
        </w:rPr>
        <w:t>。</w:t>
      </w:r>
    </w:p>
    <w:p>
      <w:pPr>
        <w:pStyle w:val="5"/>
        <w:numPr>
          <w:ilvl w:val="3"/>
          <w:numId w:val="5"/>
        </w:numPr>
        <w:adjustRightInd w:val="0"/>
        <w:snapToGrid w:val="0"/>
        <w:spacing w:before="120" w:after="120" w:line="360" w:lineRule="auto"/>
        <w:textAlignment w:val="baseline"/>
        <w:rPr>
          <w:rFonts w:ascii="宋体" w:hAnsi="宋体" w:eastAsia="宋体"/>
          <w:b w:val="0"/>
          <w:color w:val="000000"/>
          <w:sz w:val="24"/>
        </w:rPr>
      </w:pPr>
      <w:r>
        <w:rPr>
          <w:rFonts w:ascii="宋体" w:hAnsi="宋体" w:eastAsia="宋体"/>
          <w:b w:val="0"/>
          <w:color w:val="000000"/>
          <w:sz w:val="24"/>
        </w:rPr>
        <w:t>20. 争议解决</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20.3 争议评审</w:t>
      </w:r>
    </w:p>
    <w:p>
      <w:pPr>
        <w:adjustRightInd w:val="0"/>
        <w:snapToGrid w:val="0"/>
        <w:spacing w:line="36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adjustRightInd w:val="0"/>
        <w:snapToGrid w:val="0"/>
        <w:spacing w:line="36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adjustRightInd w:val="0"/>
        <w:snapToGrid w:val="0"/>
        <w:spacing w:line="36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其他事项的约定：</w:t>
      </w:r>
      <w:r>
        <w:rPr>
          <w:rFonts w:hint="eastAsia" w:ascii="宋体" w:hAnsi="宋体"/>
          <w:color w:val="000000"/>
          <w:sz w:val="24"/>
          <w:u w:val="single"/>
        </w:rPr>
        <w:t xml:space="preserve">∥ </w:t>
      </w:r>
      <w:r>
        <w:rPr>
          <w:rFonts w:ascii="宋体" w:hAnsi="宋体"/>
          <w:color w:val="000000"/>
          <w:sz w:val="24"/>
        </w:rPr>
        <w:t>。</w:t>
      </w:r>
    </w:p>
    <w:p>
      <w:pPr>
        <w:autoSpaceDE w:val="0"/>
        <w:autoSpaceDN w:val="0"/>
        <w:adjustRightInd w:val="0"/>
        <w:snapToGrid w:val="0"/>
        <w:spacing w:line="36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 xml:space="preserve">∥ </w:t>
      </w:r>
      <w:r>
        <w:rPr>
          <w:rFonts w:ascii="宋体" w:hAnsi="宋体"/>
          <w:color w:val="000000"/>
          <w:sz w:val="24"/>
        </w:rPr>
        <w:t>。</w:t>
      </w:r>
    </w:p>
    <w:p>
      <w:pPr>
        <w:adjustRightInd w:val="0"/>
        <w:snapToGrid w:val="0"/>
        <w:spacing w:after="120" w:line="360" w:lineRule="auto"/>
        <w:ind w:firstLine="480" w:firstLineChars="200"/>
        <w:outlineLvl w:val="0"/>
        <w:rPr>
          <w:rFonts w:ascii="宋体" w:hAnsi="宋体"/>
          <w:color w:val="000000"/>
          <w:sz w:val="24"/>
        </w:rPr>
      </w:pPr>
      <w:r>
        <w:rPr>
          <w:rFonts w:ascii="宋体" w:hAnsi="宋体"/>
          <w:color w:val="000000"/>
          <w:sz w:val="24"/>
        </w:rPr>
        <w:t>20.4仲裁或诉讼</w:t>
      </w:r>
    </w:p>
    <w:p>
      <w:pPr>
        <w:adjustRightInd w:val="0"/>
        <w:snapToGrid w:val="0"/>
        <w:spacing w:after="120" w:line="36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仲裁委员会申请仲裁；</w:t>
      </w:r>
    </w:p>
    <w:p>
      <w:pPr>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hint="eastAsia" w:ascii="宋体" w:hAnsi="宋体"/>
          <w:color w:val="000000"/>
          <w:sz w:val="24"/>
          <w:u w:val="single"/>
        </w:rPr>
        <w:t>常州市天宁区</w:t>
      </w:r>
      <w:r>
        <w:rPr>
          <w:rFonts w:ascii="宋体" w:hAnsi="宋体"/>
          <w:color w:val="000000"/>
          <w:sz w:val="24"/>
          <w:u w:val="single"/>
        </w:rPr>
        <w:t xml:space="preserve"> </w:t>
      </w:r>
      <w:r>
        <w:rPr>
          <w:rFonts w:ascii="宋体" w:hAnsi="宋体"/>
          <w:color w:val="000000"/>
          <w:sz w:val="24"/>
        </w:rPr>
        <w:t>人民法院起诉。</w:t>
      </w:r>
    </w:p>
    <w:p>
      <w:pPr>
        <w:pStyle w:val="5"/>
        <w:numPr>
          <w:ilvl w:val="3"/>
          <w:numId w:val="5"/>
        </w:numPr>
        <w:adjustRightInd w:val="0"/>
        <w:snapToGrid w:val="0"/>
        <w:spacing w:before="120" w:after="120" w:line="360" w:lineRule="auto"/>
        <w:ind w:left="141" w:leftChars="67"/>
        <w:textAlignment w:val="baseline"/>
        <w:rPr>
          <w:rFonts w:ascii="宋体" w:hAnsi="宋体" w:eastAsia="宋体"/>
          <w:b w:val="0"/>
          <w:color w:val="000000"/>
          <w:sz w:val="24"/>
        </w:rPr>
      </w:pPr>
      <w:r>
        <w:rPr>
          <w:rFonts w:ascii="宋体" w:hAnsi="宋体" w:eastAsia="宋体"/>
          <w:b w:val="0"/>
          <w:color w:val="000000"/>
          <w:sz w:val="24"/>
        </w:rPr>
        <w:t>2</w:t>
      </w:r>
      <w:r>
        <w:rPr>
          <w:rFonts w:hint="eastAsia" w:ascii="宋体" w:hAnsi="宋体" w:eastAsia="宋体"/>
          <w:b w:val="0"/>
          <w:color w:val="000000"/>
          <w:sz w:val="24"/>
        </w:rPr>
        <w:t>1</w:t>
      </w:r>
      <w:r>
        <w:rPr>
          <w:rFonts w:ascii="宋体" w:hAnsi="宋体" w:eastAsia="宋体"/>
          <w:b w:val="0"/>
          <w:color w:val="000000"/>
          <w:sz w:val="24"/>
        </w:rPr>
        <w:t xml:space="preserve">. </w:t>
      </w:r>
      <w:r>
        <w:rPr>
          <w:rFonts w:hint="eastAsia" w:ascii="宋体" w:hAnsi="宋体" w:eastAsia="宋体"/>
          <w:b w:val="0"/>
          <w:color w:val="000000"/>
          <w:sz w:val="24"/>
        </w:rPr>
        <w:t>其他条款</w:t>
      </w:r>
    </w:p>
    <w:p>
      <w:pPr>
        <w:adjustRightInd w:val="0"/>
        <w:snapToGrid w:val="0"/>
        <w:spacing w:line="360" w:lineRule="auto"/>
        <w:ind w:left="141" w:leftChars="67"/>
        <w:rPr>
          <w:rFonts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1、本工程招标文件、投标函、设计交底纪要等作为本合同附件，与本合同具有同等效力，但与本合同有矛盾时，以本合同为准。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pPr>
        <w:adjustRightInd w:val="0"/>
        <w:snapToGrid w:val="0"/>
        <w:spacing w:line="360" w:lineRule="auto"/>
        <w:ind w:left="141" w:leftChars="67" w:firstLine="480" w:firstLineChars="200"/>
        <w:rPr>
          <w:rFonts w:ascii="宋体" w:hAnsi="宋体"/>
          <w:sz w:val="24"/>
          <w:u w:val="single"/>
        </w:rPr>
      </w:pPr>
      <w:r>
        <w:rPr>
          <w:rFonts w:hint="eastAsia" w:ascii="宋体" w:hAnsi="宋体"/>
          <w:sz w:val="24"/>
          <w:u w:val="single"/>
        </w:rPr>
        <w:t>3、要求承包人安全、文明施工，承包人承担安全事故的一切责任。</w:t>
      </w:r>
    </w:p>
    <w:p>
      <w:pPr>
        <w:tabs>
          <w:tab w:val="left" w:pos="993"/>
        </w:tabs>
        <w:adjustRightInd w:val="0"/>
        <w:snapToGrid w:val="0"/>
        <w:spacing w:line="360" w:lineRule="auto"/>
        <w:ind w:left="141" w:leftChars="67" w:firstLine="480" w:firstLineChars="200"/>
        <w:jc w:val="left"/>
        <w:rPr>
          <w:rFonts w:ascii="宋体" w:hAnsi="宋体"/>
          <w:sz w:val="24"/>
          <w:u w:val="single"/>
        </w:rPr>
      </w:pPr>
      <w:r>
        <w:rPr>
          <w:rFonts w:hint="eastAsia" w:ascii="宋体" w:hAnsi="宋体"/>
          <w:sz w:val="24"/>
          <w:u w:val="single"/>
        </w:rPr>
        <w:t>4、其他未尽事宜双方协商解决。</w:t>
      </w: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ind w:firstLine="480" w:firstLineChars="200"/>
        <w:jc w:val="left"/>
        <w:rPr>
          <w:rFonts w:ascii="宋体" w:hAnsi="宋体"/>
          <w:sz w:val="24"/>
          <w:u w:val="single"/>
        </w:rPr>
      </w:pPr>
    </w:p>
    <w:p>
      <w:pPr>
        <w:adjustRightInd w:val="0"/>
        <w:snapToGrid w:val="0"/>
        <w:spacing w:line="360" w:lineRule="auto"/>
        <w:jc w:val="left"/>
        <w:rPr>
          <w:rFonts w:ascii="宋体" w:hAnsi="宋体"/>
          <w:b/>
          <w:color w:val="000000"/>
          <w:sz w:val="24"/>
        </w:rPr>
      </w:pPr>
      <w:bookmarkStart w:id="107" w:name="_Toc351203652"/>
      <w:r>
        <w:rPr>
          <w:rFonts w:hint="eastAsia" w:ascii="宋体" w:hAnsi="宋体"/>
          <w:b/>
          <w:color w:val="000000"/>
          <w:sz w:val="24"/>
        </w:rPr>
        <w:t>合同</w:t>
      </w:r>
      <w:r>
        <w:rPr>
          <w:rFonts w:ascii="宋体" w:hAnsi="宋体"/>
          <w:b/>
          <w:color w:val="000000"/>
          <w:sz w:val="24"/>
        </w:rPr>
        <w:t>附件</w:t>
      </w:r>
      <w:bookmarkEnd w:id="107"/>
      <w:r>
        <w:rPr>
          <w:rFonts w:hint="eastAsia" w:ascii="宋体" w:hAnsi="宋体"/>
          <w:b/>
          <w:color w:val="000000"/>
          <w:sz w:val="24"/>
        </w:rPr>
        <w:t>：</w:t>
      </w:r>
    </w:p>
    <w:p>
      <w:pPr>
        <w:adjustRightInd w:val="0"/>
        <w:snapToGrid w:val="0"/>
        <w:spacing w:before="156" w:beforeLines="50" w:after="156" w:afterLines="50" w:line="360" w:lineRule="auto"/>
        <w:jc w:val="center"/>
        <w:rPr>
          <w:rFonts w:ascii="宋体" w:hAnsi="宋体"/>
          <w:b/>
          <w:color w:val="000000"/>
          <w:sz w:val="32"/>
          <w:szCs w:val="32"/>
        </w:rPr>
      </w:pPr>
      <w:r>
        <w:rPr>
          <w:rFonts w:ascii="宋体" w:hAnsi="宋体"/>
          <w:b/>
          <w:color w:val="000000"/>
          <w:sz w:val="32"/>
          <w:szCs w:val="32"/>
        </w:rPr>
        <w:t>工程质量保修书</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发包人（全称）：</w:t>
      </w:r>
      <w:r>
        <w:rPr>
          <w:rFonts w:hint="eastAsia" w:ascii="宋体" w:hAnsi="宋体"/>
          <w:bCs/>
          <w:sz w:val="24"/>
          <w:u w:val="single"/>
        </w:rPr>
        <w:t>常州市天宁区青龙街道办事处</w:t>
      </w:r>
      <w:r>
        <w:rPr>
          <w:rFonts w:ascii="宋体" w:hAnsi="宋体"/>
          <w:color w:val="000000"/>
          <w:sz w:val="24"/>
        </w:rPr>
        <w:t xml:space="preserve"> </w:t>
      </w:r>
    </w:p>
    <w:p>
      <w:pPr>
        <w:adjustRightInd w:val="0"/>
        <w:snapToGrid w:val="0"/>
        <w:spacing w:line="360" w:lineRule="auto"/>
        <w:rPr>
          <w:rFonts w:ascii="宋体" w:hAnsi="宋体"/>
          <w:color w:val="000000"/>
          <w:sz w:val="24"/>
        </w:rPr>
      </w:pPr>
      <w:r>
        <w:rPr>
          <w:rFonts w:ascii="宋体" w:hAnsi="宋体"/>
          <w:color w:val="000000"/>
          <w:sz w:val="24"/>
        </w:rPr>
        <w:t>　　承包人（全称）：</w:t>
      </w:r>
      <w:r>
        <w:rPr>
          <w:rFonts w:ascii="宋体" w:hAnsi="宋体"/>
          <w:color w:val="000000"/>
          <w:sz w:val="24"/>
          <w:u w:val="single"/>
        </w:rPr>
        <w:t xml:space="preserve">   </w:t>
      </w:r>
      <w:r>
        <w:rPr>
          <w:rFonts w:hint="eastAsia" w:ascii="宋体" w:hAnsi="宋体"/>
          <w:snapToGrid w:val="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　　发包人和承包人根据《中华人民共和国建筑法》和《建设工程质量管理条例》，经协商一致就</w:t>
      </w:r>
      <w:r>
        <w:rPr>
          <w:rFonts w:hint="eastAsia" w:ascii="宋体" w:hAnsi="宋体"/>
          <w:color w:val="000000"/>
          <w:sz w:val="24"/>
          <w:u w:val="single"/>
        </w:rPr>
        <w:t xml:space="preserve"> </w:t>
      </w:r>
      <w:r>
        <w:rPr>
          <w:rFonts w:hint="eastAsia" w:ascii="宋体" w:hAnsi="宋体"/>
          <w:bCs/>
          <w:sz w:val="24"/>
        </w:rPr>
        <w:t>优抚接待站能力建设改造项目</w:t>
      </w:r>
      <w:r>
        <w:rPr>
          <w:rFonts w:hint="eastAsia" w:ascii="宋体" w:hAnsi="宋体"/>
          <w:snapToGrid w:val="0"/>
          <w:sz w:val="24"/>
          <w:u w:val="single"/>
        </w:rPr>
        <w:t xml:space="preserve"> </w:t>
      </w:r>
      <w:r>
        <w:rPr>
          <w:rFonts w:ascii="宋体" w:hAnsi="宋体"/>
          <w:color w:val="000000"/>
          <w:sz w:val="24"/>
        </w:rPr>
        <w:t>（工程全称）签订工程质量保修书。</w:t>
      </w:r>
    </w:p>
    <w:p>
      <w:pPr>
        <w:adjustRightInd w:val="0"/>
        <w:snapToGrid w:val="0"/>
        <w:spacing w:line="360" w:lineRule="auto"/>
        <w:outlineLvl w:val="0"/>
        <w:rPr>
          <w:rFonts w:ascii="宋体" w:hAnsi="宋体"/>
          <w:color w:val="000000"/>
          <w:sz w:val="24"/>
        </w:rPr>
      </w:pPr>
      <w:r>
        <w:rPr>
          <w:rFonts w:ascii="宋体" w:hAnsi="宋体"/>
          <w:color w:val="000000"/>
          <w:sz w:val="24"/>
        </w:rPr>
        <w:t>　　一、工程质量保修范围和内容</w:t>
      </w:r>
    </w:p>
    <w:p>
      <w:pPr>
        <w:adjustRightInd w:val="0"/>
        <w:snapToGrid w:val="0"/>
        <w:spacing w:line="360" w:lineRule="auto"/>
        <w:rPr>
          <w:rFonts w:ascii="宋体" w:hAnsi="宋体"/>
          <w:color w:val="000000"/>
          <w:sz w:val="24"/>
        </w:rPr>
      </w:pPr>
      <w:r>
        <w:rPr>
          <w:rFonts w:ascii="宋体" w:hAnsi="宋体"/>
          <w:color w:val="000000"/>
          <w:sz w:val="24"/>
        </w:rPr>
        <w:t>　　承包人在质量保修期内，按照有关法律规定和合同约定，承担工程质量保修责任。</w:t>
      </w:r>
    </w:p>
    <w:p>
      <w:pPr>
        <w:adjustRightInd w:val="0"/>
        <w:snapToGrid w:val="0"/>
        <w:spacing w:line="360" w:lineRule="auto"/>
        <w:rPr>
          <w:rFonts w:ascii="宋体" w:hAnsi="宋体"/>
          <w:sz w:val="24"/>
        </w:rPr>
      </w:pPr>
      <w:r>
        <w:rPr>
          <w:rFonts w:ascii="宋体" w:hAnsi="宋体"/>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 w:val="24"/>
          <w:u w:val="single"/>
        </w:rPr>
        <w:t>按合同承包范围内容</w:t>
      </w:r>
      <w:r>
        <w:rPr>
          <w:rFonts w:ascii="宋体" w:hAnsi="宋体"/>
          <w:sz w:val="24"/>
        </w:rPr>
        <w:t>。</w:t>
      </w:r>
    </w:p>
    <w:p>
      <w:pPr>
        <w:adjustRightInd w:val="0"/>
        <w:snapToGrid w:val="0"/>
        <w:spacing w:line="360" w:lineRule="auto"/>
        <w:outlineLvl w:val="0"/>
        <w:rPr>
          <w:rFonts w:ascii="宋体" w:hAnsi="宋体"/>
          <w:color w:val="000000"/>
          <w:sz w:val="24"/>
        </w:rPr>
      </w:pPr>
      <w:r>
        <w:rPr>
          <w:rFonts w:ascii="宋体" w:hAnsi="宋体"/>
          <w:b/>
          <w:color w:val="000000"/>
          <w:sz w:val="24"/>
        </w:rPr>
        <w:t>　　</w:t>
      </w:r>
    </w:p>
    <w:p>
      <w:pPr>
        <w:adjustRightInd w:val="0"/>
        <w:snapToGrid w:val="0"/>
        <w:spacing w:line="360" w:lineRule="auto"/>
        <w:rPr>
          <w:rFonts w:ascii="宋体" w:hAnsi="宋体"/>
          <w:color w:val="000000" w:themeColor="text1"/>
          <w:sz w:val="24"/>
          <w14:textFill>
            <w14:solidFill>
              <w14:schemeClr w14:val="tx1"/>
            </w14:solidFill>
          </w14:textFill>
        </w:rPr>
      </w:pPr>
      <w:r>
        <w:rPr>
          <w:rFonts w:ascii="宋体" w:hAnsi="宋体"/>
          <w:color w:val="000000"/>
          <w:sz w:val="24"/>
        </w:rPr>
        <w:t>　</w:t>
      </w:r>
      <w:r>
        <w:rPr>
          <w:rFonts w:ascii="宋体" w:hAnsi="宋体"/>
          <w:color w:val="000000" w:themeColor="text1"/>
          <w:sz w:val="24"/>
          <w14:textFill>
            <w14:solidFill>
              <w14:schemeClr w14:val="tx1"/>
            </w14:solidFill>
          </w14:textFill>
        </w:rPr>
        <w:t>　质量保修期自工程竣工验收合格之日起计算。</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三、缺陷责任期</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工程缺陷责任期为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24</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个月，缺陷责任期自工程</w:t>
      </w:r>
      <w:r>
        <w:rPr>
          <w:rFonts w:hint="eastAsia" w:ascii="宋体" w:hAnsi="宋体"/>
          <w:color w:val="000000" w:themeColor="text1"/>
          <w:sz w:val="24"/>
          <w14:textFill>
            <w14:solidFill>
              <w14:schemeClr w14:val="tx1"/>
            </w14:solidFill>
          </w14:textFill>
        </w:rPr>
        <w:t>通过竣工验收</w:t>
      </w:r>
      <w:r>
        <w:rPr>
          <w:rFonts w:ascii="宋体" w:hAnsi="宋体"/>
          <w:color w:val="000000" w:themeColor="text1"/>
          <w:sz w:val="24"/>
          <w14:textFill>
            <w14:solidFill>
              <w14:schemeClr w14:val="tx1"/>
            </w14:solidFill>
          </w14:textFill>
        </w:rPr>
        <w:t>之日起计算。单位工程先于全部工程进行验收，单位工程缺陷责任期自单位工程验收合格之日起算。</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缺陷责任期终止后，发包人应退还剩余的质量保证金。</w:t>
      </w:r>
    </w:p>
    <w:p>
      <w:pPr>
        <w:adjustRightInd w:val="0"/>
        <w:snapToGrid w:val="0"/>
        <w:spacing w:line="360" w:lineRule="auto"/>
        <w:outlineLvl w:val="0"/>
        <w:rPr>
          <w:rFonts w:ascii="宋体" w:hAnsi="宋体"/>
          <w:color w:val="000000"/>
          <w:sz w:val="24"/>
        </w:rPr>
      </w:pPr>
      <w:r>
        <w:rPr>
          <w:rFonts w:ascii="宋体" w:hAnsi="宋体"/>
          <w:color w:val="000000"/>
          <w:sz w:val="24"/>
        </w:rPr>
        <w:t xml:space="preserve">    四、质量保修责任</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1</w:t>
      </w:r>
      <w:r>
        <w:rPr>
          <w:rFonts w:hint="eastAsia" w:ascii="宋体" w:hAnsi="宋体"/>
          <w:sz w:val="24"/>
        </w:rPr>
        <w:t>．</w:t>
      </w:r>
      <w:r>
        <w:rPr>
          <w:rFonts w:ascii="宋体" w:hAnsi="宋体"/>
          <w:color w:val="000000"/>
          <w:sz w:val="24"/>
        </w:rPr>
        <w:t>属于保修范围、内容的项目，承包人应当在接到保修通知之日起7天内派人保修。承包人不在约定期限内派人保修的，发包人可以委托他人修理。</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2</w:t>
      </w:r>
      <w:r>
        <w:rPr>
          <w:rFonts w:hint="eastAsia" w:ascii="宋体" w:hAnsi="宋体"/>
          <w:sz w:val="24"/>
        </w:rPr>
        <w:t>．</w:t>
      </w:r>
      <w:r>
        <w:rPr>
          <w:rFonts w:ascii="宋体" w:hAnsi="宋体"/>
          <w:color w:val="000000"/>
          <w:sz w:val="24"/>
        </w:rPr>
        <w:t>发生紧急事故需抢修的，承包人在接到事故通知后，应当立即到达事故现场抢修。</w:t>
      </w:r>
    </w:p>
    <w:p>
      <w:pPr>
        <w:adjustRightInd w:val="0"/>
        <w:snapToGrid w:val="0"/>
        <w:spacing w:line="360" w:lineRule="auto"/>
        <w:ind w:left="105" w:leftChars="50" w:firstLine="491" w:firstLineChars="205"/>
        <w:rPr>
          <w:rFonts w:ascii="宋体" w:hAnsi="宋体"/>
          <w:color w:val="000000"/>
          <w:sz w:val="24"/>
        </w:rPr>
      </w:pPr>
      <w:r>
        <w:rPr>
          <w:rFonts w:hint="eastAsia" w:ascii="宋体" w:hAnsi="宋体"/>
          <w:color w:val="000000"/>
          <w:sz w:val="24"/>
        </w:rPr>
        <w:t>3</w:t>
      </w:r>
      <w:r>
        <w:rPr>
          <w:rFonts w:hint="eastAsia" w:ascii="宋体" w:hAnsi="宋体"/>
          <w:sz w:val="24"/>
        </w:rPr>
        <w:t>．</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left="420" w:leftChars="200" w:firstLine="120" w:firstLineChars="50"/>
        <w:rPr>
          <w:rFonts w:ascii="宋体" w:hAnsi="宋体"/>
          <w:color w:val="000000"/>
          <w:sz w:val="24"/>
        </w:rPr>
      </w:pPr>
      <w:r>
        <w:rPr>
          <w:rFonts w:hint="eastAsia" w:ascii="宋体" w:hAnsi="宋体"/>
          <w:color w:val="000000"/>
          <w:sz w:val="24"/>
        </w:rPr>
        <w:t>4</w:t>
      </w:r>
      <w:r>
        <w:rPr>
          <w:rFonts w:hint="eastAsia" w:ascii="宋体" w:hAnsi="宋体"/>
          <w:sz w:val="24"/>
        </w:rPr>
        <w:t>．</w:t>
      </w:r>
      <w:r>
        <w:rPr>
          <w:rFonts w:ascii="宋体" w:hAnsi="宋体"/>
          <w:color w:val="000000"/>
          <w:sz w:val="24"/>
        </w:rPr>
        <w:t>质量保修完成后，由发包人组织验收。</w:t>
      </w:r>
    </w:p>
    <w:p>
      <w:pPr>
        <w:adjustRightInd w:val="0"/>
        <w:snapToGrid w:val="0"/>
        <w:spacing w:line="360" w:lineRule="auto"/>
        <w:outlineLvl w:val="0"/>
        <w:rPr>
          <w:rFonts w:ascii="宋体" w:hAnsi="宋体"/>
          <w:color w:val="000000"/>
          <w:sz w:val="24"/>
        </w:rPr>
      </w:pPr>
      <w:r>
        <w:rPr>
          <w:rFonts w:ascii="宋体" w:hAnsi="宋体"/>
          <w:color w:val="000000"/>
          <w:sz w:val="24"/>
        </w:rPr>
        <w:t>　　五、保修费用</w:t>
      </w:r>
    </w:p>
    <w:p>
      <w:pPr>
        <w:adjustRightInd w:val="0"/>
        <w:snapToGrid w:val="0"/>
        <w:spacing w:line="360" w:lineRule="auto"/>
        <w:rPr>
          <w:rFonts w:ascii="宋体" w:hAnsi="宋体"/>
          <w:color w:val="000000"/>
          <w:sz w:val="24"/>
        </w:rPr>
      </w:pPr>
      <w:r>
        <w:rPr>
          <w:rFonts w:ascii="宋体" w:hAnsi="宋体"/>
          <w:color w:val="000000"/>
          <w:sz w:val="24"/>
        </w:rPr>
        <w:t>　　保修费用由造成质量缺陷的责任方承担。</w:t>
      </w:r>
    </w:p>
    <w:p>
      <w:pPr>
        <w:adjustRightInd w:val="0"/>
        <w:snapToGrid w:val="0"/>
        <w:spacing w:line="360" w:lineRule="auto"/>
        <w:ind w:firstLine="600"/>
        <w:jc w:val="left"/>
        <w:outlineLvl w:val="0"/>
        <w:rPr>
          <w:rFonts w:ascii="宋体" w:hAnsi="宋体"/>
          <w:color w:val="000000"/>
          <w:sz w:val="24"/>
        </w:rPr>
      </w:pPr>
      <w:r>
        <w:rPr>
          <w:rFonts w:ascii="宋体" w:hAnsi="宋体"/>
          <w:b/>
          <w:color w:val="000000"/>
          <w:sz w:val="24"/>
        </w:rPr>
        <w:t>六</w:t>
      </w:r>
      <w:r>
        <w:rPr>
          <w:rFonts w:ascii="宋体" w:hAnsi="宋体"/>
          <w:color w:val="000000"/>
          <w:sz w:val="24"/>
        </w:rPr>
        <w:t>、双方约定的其他工程质量保修事项：</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56" w:firstLineChars="190"/>
        <w:rPr>
          <w:rFonts w:ascii="宋体" w:hAnsi="宋体"/>
          <w:color w:val="000000"/>
          <w:sz w:val="24"/>
        </w:rPr>
      </w:pPr>
      <w:r>
        <w:rPr>
          <w:rFonts w:ascii="宋体" w:hAnsi="宋体"/>
          <w:color w:val="000000"/>
          <w:sz w:val="24"/>
        </w:rPr>
        <w:t>工程质量保修书由发包人、承包人在工程竣工验收前共同签署，作为施工合同附件，其有效期限至保修期满。</w:t>
      </w:r>
    </w:p>
    <w:p>
      <w:pPr>
        <w:adjustRightInd w:val="0"/>
        <w:snapToGrid w:val="0"/>
        <w:spacing w:line="360" w:lineRule="auto"/>
        <w:ind w:firstLine="420"/>
        <w:rPr>
          <w:rFonts w:ascii="宋体" w:hAnsi="宋体"/>
          <w:color w:val="000000"/>
          <w:sz w:val="24"/>
        </w:rPr>
      </w:pPr>
    </w:p>
    <w:p>
      <w:pPr>
        <w:adjustRightInd w:val="0"/>
        <w:snapToGrid w:val="0"/>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承包人(公章)：</w:t>
      </w:r>
      <w:r>
        <w:rPr>
          <w:rFonts w:ascii="宋体" w:hAnsi="宋体"/>
          <w:color w:val="000000"/>
          <w:sz w:val="24"/>
          <w:u w:val="single"/>
        </w:rPr>
        <w:t></w:t>
      </w:r>
      <w:r>
        <w:rPr>
          <w:rFonts w:hint="eastAsia"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委托代理人(签字)：</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r>
        <w:rPr>
          <w:rFonts w:ascii="宋体" w:hAnsi="宋体"/>
          <w:sz w:val="24"/>
        </w:rPr>
        <w:t xml:space="preserve"> </w:t>
      </w:r>
    </w:p>
    <w:bookmarkEnd w:id="82"/>
    <w:p>
      <w:pPr>
        <w:adjustRightInd w:val="0"/>
        <w:snapToGrid w:val="0"/>
        <w:spacing w:line="360" w:lineRule="auto"/>
        <w:rPr>
          <w:rFonts w:ascii="宋体" w:hAnsi="宋体"/>
          <w:sz w:val="24"/>
        </w:rPr>
      </w:pPr>
    </w:p>
    <w:p/>
    <w:p>
      <w:pPr>
        <w:pStyle w:val="12"/>
        <w:jc w:val="center"/>
        <w:rPr>
          <w:rFonts w:asciiTheme="minorEastAsia" w:hAnsiTheme="minorEastAsia" w:eastAsiaTheme="minorEastAsia" w:cstheme="minorEastAsia"/>
          <w:sz w:val="24"/>
          <w:szCs w:val="24"/>
        </w:rPr>
      </w:pPr>
    </w:p>
    <w:sectPr>
      <w:footerReference r:id="rId15" w:type="first"/>
      <w:footerReference r:id="rId14" w:type="default"/>
      <w:pgSz w:w="11906" w:h="16838"/>
      <w:pgMar w:top="1440" w:right="1803"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jc w:val="center"/>
    </w:pPr>
  </w:p>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Vx3w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JVx3wPAgAACQ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39</w:t>
                    </w:r>
                    <w: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fldChar w:fldCharType="end"/>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ANl+6YPAgAACQ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48</w:t>
                    </w:r>
                    <w:r>
                      <w:fldChar w:fldCharType="end"/>
                    </w:r>
                    <w:r>
                      <w:rPr>
                        <w:rFonts w:hint="eastAsia"/>
                      </w:rP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default" w:eastAsia="宋体"/>
        <w:lang w:val="en-US" w:eastAsia="zh-CN"/>
      </w:rPr>
    </w:pPr>
    <w:r>
      <w:rPr>
        <w:rFonts w:hint="eastAsia"/>
        <w:lang w:val="en-US" w:eastAsia="zh-CN"/>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b/>
      </w:rPr>
    </w:pPr>
    <w:r>
      <w:rPr>
        <w:rFonts w:hint="eastAsia"/>
        <w:b/>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E29795"/>
    <w:multiLevelType w:val="singleLevel"/>
    <w:tmpl w:val="E4E29795"/>
    <w:lvl w:ilvl="0" w:tentative="0">
      <w:start w:val="6"/>
      <w:numFmt w:val="chineseCounting"/>
      <w:suff w:val="space"/>
      <w:lvlText w:val="%1、"/>
      <w:lvlJc w:val="left"/>
      <w:rPr>
        <w:rFonts w:hint="eastAsia"/>
      </w:rPr>
    </w:lvl>
  </w:abstractNum>
  <w:abstractNum w:abstractNumId="1">
    <w:nsid w:val="00000001"/>
    <w:multiLevelType w:val="multilevel"/>
    <w:tmpl w:val="00000001"/>
    <w:lvl w:ilvl="0" w:tentative="0">
      <w:start w:val="1"/>
      <w:numFmt w:val="chineseCountingThousand"/>
      <w:lvlText w:val="第%1章"/>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25B654F3"/>
    <w:multiLevelType w:val="singleLevel"/>
    <w:tmpl w:val="25B654F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49812687"/>
    <w:multiLevelType w:val="multilevel"/>
    <w:tmpl w:val="4981268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6D54CCB"/>
    <w:multiLevelType w:val="multilevel"/>
    <w:tmpl w:val="66D54CCB"/>
    <w:lvl w:ilvl="0" w:tentative="0">
      <w:start w:val="1"/>
      <w:numFmt w:val="decimal"/>
      <w:pStyle w:val="3"/>
      <w:lvlText w:val="%1  "/>
      <w:lvlJc w:val="left"/>
      <w:pPr>
        <w:tabs>
          <w:tab w:val="left" w:pos="1571"/>
        </w:tabs>
        <w:ind w:left="1283" w:hanging="432"/>
      </w:pPr>
      <w:rPr>
        <w:rFonts w:hint="eastAsia" w:ascii="黑体" w:eastAsia="黑体"/>
      </w:rPr>
    </w:lvl>
    <w:lvl w:ilvl="1" w:tentative="0">
      <w:start w:val="1"/>
      <w:numFmt w:val="decimal"/>
      <w:pStyle w:val="4"/>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56B29"/>
    <w:rsid w:val="0007444E"/>
    <w:rsid w:val="00086E77"/>
    <w:rsid w:val="000B375F"/>
    <w:rsid w:val="000C416B"/>
    <w:rsid w:val="001269C5"/>
    <w:rsid w:val="001C7C57"/>
    <w:rsid w:val="0022125C"/>
    <w:rsid w:val="00256187"/>
    <w:rsid w:val="00284EA9"/>
    <w:rsid w:val="00295904"/>
    <w:rsid w:val="003026D3"/>
    <w:rsid w:val="00302D11"/>
    <w:rsid w:val="00395326"/>
    <w:rsid w:val="003A5F83"/>
    <w:rsid w:val="003B5BE2"/>
    <w:rsid w:val="00414F45"/>
    <w:rsid w:val="004543BC"/>
    <w:rsid w:val="004810F5"/>
    <w:rsid w:val="00535129"/>
    <w:rsid w:val="00536691"/>
    <w:rsid w:val="00605729"/>
    <w:rsid w:val="00632D57"/>
    <w:rsid w:val="00640775"/>
    <w:rsid w:val="006512D7"/>
    <w:rsid w:val="006B63F8"/>
    <w:rsid w:val="006B6842"/>
    <w:rsid w:val="006C1941"/>
    <w:rsid w:val="007B4DF3"/>
    <w:rsid w:val="007E0109"/>
    <w:rsid w:val="007F4117"/>
    <w:rsid w:val="00802CDD"/>
    <w:rsid w:val="008E40C4"/>
    <w:rsid w:val="00924688"/>
    <w:rsid w:val="00A01C88"/>
    <w:rsid w:val="00B835DA"/>
    <w:rsid w:val="00B923CB"/>
    <w:rsid w:val="00BC7C13"/>
    <w:rsid w:val="00BE70F5"/>
    <w:rsid w:val="00C354E7"/>
    <w:rsid w:val="00C74893"/>
    <w:rsid w:val="00C93ECD"/>
    <w:rsid w:val="00CC5B79"/>
    <w:rsid w:val="00D41B35"/>
    <w:rsid w:val="00DA5C4B"/>
    <w:rsid w:val="00DF0324"/>
    <w:rsid w:val="00DF58FC"/>
    <w:rsid w:val="00E62D83"/>
    <w:rsid w:val="00E73C7F"/>
    <w:rsid w:val="00E81C7E"/>
    <w:rsid w:val="00ED15E0"/>
    <w:rsid w:val="00F54D53"/>
    <w:rsid w:val="00F648C2"/>
    <w:rsid w:val="00F848A2"/>
    <w:rsid w:val="00F90A83"/>
    <w:rsid w:val="025B3D7F"/>
    <w:rsid w:val="081A781C"/>
    <w:rsid w:val="098630B5"/>
    <w:rsid w:val="0A9D1460"/>
    <w:rsid w:val="0AA20D0E"/>
    <w:rsid w:val="0C190122"/>
    <w:rsid w:val="0F55436B"/>
    <w:rsid w:val="0FE95C05"/>
    <w:rsid w:val="147A66C1"/>
    <w:rsid w:val="14A53363"/>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4136917"/>
    <w:rsid w:val="25335D39"/>
    <w:rsid w:val="25FF0912"/>
    <w:rsid w:val="2B3959C0"/>
    <w:rsid w:val="2D0F65FB"/>
    <w:rsid w:val="2D611A3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1BB20EC"/>
    <w:rsid w:val="42182501"/>
    <w:rsid w:val="42BD600D"/>
    <w:rsid w:val="42E86C2B"/>
    <w:rsid w:val="44870410"/>
    <w:rsid w:val="45E8627F"/>
    <w:rsid w:val="48A1397B"/>
    <w:rsid w:val="48C23643"/>
    <w:rsid w:val="49EF789B"/>
    <w:rsid w:val="4BB32626"/>
    <w:rsid w:val="4D474E57"/>
    <w:rsid w:val="4E2613B4"/>
    <w:rsid w:val="4F384438"/>
    <w:rsid w:val="5089042C"/>
    <w:rsid w:val="51DB7668"/>
    <w:rsid w:val="525F7DC5"/>
    <w:rsid w:val="54B150F5"/>
    <w:rsid w:val="57B26AFC"/>
    <w:rsid w:val="57B62D5D"/>
    <w:rsid w:val="581D1E14"/>
    <w:rsid w:val="59D50737"/>
    <w:rsid w:val="5B9405DE"/>
    <w:rsid w:val="5BBA674F"/>
    <w:rsid w:val="5D0F24F0"/>
    <w:rsid w:val="5F6E5137"/>
    <w:rsid w:val="5FC24B68"/>
    <w:rsid w:val="624E57C9"/>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C5F5279"/>
    <w:rsid w:val="7E0E5841"/>
    <w:rsid w:val="7E1F1EF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4">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paragraph" w:styleId="5">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6">
    <w:name w:val="Normal Indent"/>
    <w:basedOn w:val="1"/>
    <w:qFormat/>
    <w:uiPriority w:val="99"/>
    <w:pPr>
      <w:ind w:firstLine="420" w:firstLineChars="200"/>
    </w:pPr>
    <w:rPr>
      <w:rFonts w:ascii="Calibri" w:hAnsi="Calibri"/>
      <w:kern w:val="0"/>
      <w:sz w:val="24"/>
      <w:szCs w:val="20"/>
    </w:rPr>
  </w:style>
  <w:style w:type="paragraph" w:styleId="7">
    <w:name w:val="Plain Text"/>
    <w:basedOn w:val="1"/>
    <w:qFormat/>
    <w:uiPriority w:val="0"/>
    <w:rPr>
      <w:rFonts w:ascii="宋体"/>
      <w:kern w:val="0"/>
      <w:sz w:val="20"/>
      <w:szCs w:val="20"/>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2"/>
    <w:qFormat/>
    <w:uiPriority w:val="0"/>
    <w:pPr>
      <w:ind w:firstLine="420"/>
    </w:pPr>
    <w:rPr>
      <w:szCs w:val="20"/>
    </w:rPr>
  </w:style>
  <w:style w:type="character" w:styleId="15">
    <w:name w:val="Hyperlink"/>
    <w:basedOn w:val="14"/>
    <w:qFormat/>
    <w:uiPriority w:val="0"/>
    <w:rPr>
      <w:color w:val="0000FF"/>
      <w:u w:val="single"/>
    </w:rPr>
  </w:style>
  <w:style w:type="paragraph" w:customStyle="1" w:styleId="16">
    <w:name w:val="Í¼±íÕýÎÄ"/>
    <w:basedOn w:val="1"/>
    <w:next w:val="6"/>
    <w:qFormat/>
    <w:uiPriority w:val="0"/>
    <w:pPr>
      <w:ind w:firstLine="420" w:firstLineChars="200"/>
    </w:pPr>
    <w:rPr>
      <w:sz w:val="24"/>
      <w:szCs w:val="20"/>
    </w:rPr>
  </w:style>
  <w:style w:type="paragraph" w:customStyle="1" w:styleId="17">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18">
    <w:name w:val="Body text|1"/>
    <w:basedOn w:val="1"/>
    <w:qFormat/>
    <w:uiPriority w:val="0"/>
    <w:pPr>
      <w:ind w:firstLine="170"/>
    </w:pPr>
    <w:rPr>
      <w:rFonts w:ascii="宋体" w:hAnsi="宋体" w:cs="宋体"/>
      <w:sz w:val="26"/>
      <w:szCs w:val="26"/>
      <w:lang w:val="zh-TW" w:eastAsia="zh-TW" w:bidi="zh-TW"/>
    </w:rPr>
  </w:style>
  <w:style w:type="paragraph" w:customStyle="1" w:styleId="19">
    <w:name w:val="Header or footer|1"/>
    <w:basedOn w:val="1"/>
    <w:qFormat/>
    <w:uiPriority w:val="0"/>
    <w:rPr>
      <w:lang w:val="zh-TW" w:eastAsia="zh-TW" w:bidi="zh-TW"/>
    </w:rPr>
  </w:style>
  <w:style w:type="paragraph" w:customStyle="1" w:styleId="20">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3747</Words>
  <Characters>21362</Characters>
  <Lines>178</Lines>
  <Paragraphs>50</Paragraphs>
  <TotalTime>65</TotalTime>
  <ScaleCrop>false</ScaleCrop>
  <LinksUpToDate>false</LinksUpToDate>
  <CharactersWithSpaces>25059</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2020-10-25T06:36:00Z</dcterms:created>
  <dc:creator>黎诺</dc:creator>
  <cp:lastModifiedBy>Administrator</cp:lastModifiedBy>
  <cp:lastPrinted>2020-09-23T01:31:00Z</cp:lastPrinted>
  <dcterms:modified xsi:type="dcterms:W3CDTF">2021-03-27T05:15:51Z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