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黑体" w:eastAsia="黑体"/>
          <w:color w:val="auto"/>
          <w:sz w:val="32"/>
          <w:lang w:val="zh-CN"/>
        </w:rPr>
      </w:pPr>
      <w:bookmarkStart w:id="0" w:name="bookmark49"/>
      <w:bookmarkStart w:id="1" w:name="bookmark51"/>
      <w:bookmarkStart w:id="2" w:name="bookmark50"/>
    </w:p>
    <w:p>
      <w:pPr>
        <w:autoSpaceDE w:val="0"/>
        <w:autoSpaceDN w:val="0"/>
        <w:rPr>
          <w:rFonts w:ascii="黑体" w:eastAsia="黑体"/>
          <w:color w:val="auto"/>
          <w:sz w:val="32"/>
          <w:lang w:val="zh-CN"/>
        </w:rPr>
      </w:pPr>
    </w:p>
    <w:p>
      <w:pPr>
        <w:autoSpaceDE w:val="0"/>
        <w:autoSpaceDN w:val="0"/>
        <w:rPr>
          <w:rFonts w:ascii="黑体" w:eastAsia="黑体"/>
          <w:color w:val="auto"/>
          <w:sz w:val="32"/>
          <w:lang w:val="zh-CN"/>
        </w:rPr>
      </w:pPr>
    </w:p>
    <w:p>
      <w:pPr>
        <w:autoSpaceDE w:val="0"/>
        <w:autoSpaceDN w:val="0"/>
        <w:rPr>
          <w:rFonts w:ascii="黑体" w:eastAsia="黑体"/>
          <w:color w:val="auto"/>
          <w:sz w:val="32"/>
          <w:lang w:val="zh-CN"/>
        </w:rPr>
      </w:pPr>
    </w:p>
    <w:p>
      <w:pPr>
        <w:snapToGrid w:val="0"/>
        <w:spacing w:line="360" w:lineRule="auto"/>
        <w:rPr>
          <w:rFonts w:ascii="宋体" w:hAnsi="宋体" w:cs="黑体"/>
          <w:b/>
          <w:color w:val="auto"/>
          <w:spacing w:val="170"/>
          <w:kern w:val="0"/>
          <w:sz w:val="84"/>
          <w:szCs w:val="84"/>
        </w:rPr>
      </w:pPr>
      <w:r>
        <w:rPr>
          <w:rFonts w:hint="eastAsia" w:ascii="宋体" w:hAnsi="宋体" w:cs="黑体"/>
          <w:b/>
          <w:color w:val="auto"/>
          <w:spacing w:val="170"/>
          <w:kern w:val="0"/>
          <w:sz w:val="84"/>
          <w:szCs w:val="84"/>
        </w:rPr>
        <w:t>竞争性磋商</w:t>
      </w:r>
      <w:r>
        <w:rPr>
          <w:rFonts w:hint="eastAsia" w:ascii="宋体" w:hAnsi="宋体"/>
          <w:b/>
          <w:color w:val="auto"/>
          <w:spacing w:val="170"/>
          <w:sz w:val="84"/>
          <w:szCs w:val="84"/>
        </w:rPr>
        <w:t>文件</w:t>
      </w:r>
    </w:p>
    <w:p>
      <w:pPr>
        <w:autoSpaceDE w:val="0"/>
        <w:autoSpaceDN w:val="0"/>
        <w:jc w:val="center"/>
        <w:rPr>
          <w:rFonts w:ascii="黑体" w:eastAsia="黑体"/>
          <w:b/>
          <w:color w:val="auto"/>
          <w:sz w:val="32"/>
          <w:lang w:val="zh-CN"/>
        </w:rPr>
      </w:pPr>
    </w:p>
    <w:p>
      <w:pPr>
        <w:autoSpaceDE w:val="0"/>
        <w:autoSpaceDN w:val="0"/>
        <w:rPr>
          <w:rFonts w:ascii="黑体" w:eastAsia="黑体"/>
          <w:b/>
          <w:color w:val="auto"/>
          <w:sz w:val="32"/>
          <w:lang w:val="zh-CN"/>
        </w:rPr>
      </w:pPr>
    </w:p>
    <w:p>
      <w:pPr>
        <w:autoSpaceDE w:val="0"/>
        <w:autoSpaceDN w:val="0"/>
        <w:jc w:val="center"/>
        <w:rPr>
          <w:rFonts w:ascii="黑体" w:eastAsia="黑体"/>
          <w:b/>
          <w:color w:val="auto"/>
          <w:sz w:val="32"/>
          <w:lang w:val="zh-CN"/>
        </w:rPr>
      </w:pPr>
    </w:p>
    <w:p>
      <w:pPr>
        <w:autoSpaceDE w:val="0"/>
        <w:autoSpaceDN w:val="0"/>
        <w:jc w:val="center"/>
        <w:rPr>
          <w:rFonts w:ascii="黑体" w:eastAsia="黑体"/>
          <w:b/>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r>
        <w:rPr>
          <w:rFonts w:ascii="黑体" w:eastAsia="黑体"/>
          <w:color w:val="auto"/>
          <w:sz w:val="32"/>
          <w:lang w:val="zh-CN"/>
        </w:rPr>
        <w:t>采购编号：</w:t>
      </w:r>
      <w:r>
        <w:rPr>
          <w:rFonts w:hint="eastAsia" w:ascii="黑体" w:eastAsia="黑体"/>
          <w:color w:val="auto"/>
          <w:sz w:val="36"/>
          <w:szCs w:val="21"/>
          <w:lang w:val="en-US" w:eastAsia="zh-CN"/>
        </w:rPr>
        <w:t>JSCY竞采磋2021-003号</w:t>
      </w:r>
    </w:p>
    <w:p>
      <w:pPr>
        <w:tabs>
          <w:tab w:val="left" w:pos="567"/>
          <w:tab w:val="left" w:pos="851"/>
          <w:tab w:val="left" w:pos="1134"/>
        </w:tabs>
        <w:autoSpaceDE w:val="0"/>
        <w:autoSpaceDN w:val="0"/>
        <w:spacing w:line="700" w:lineRule="exact"/>
        <w:rPr>
          <w:rFonts w:ascii="黑体" w:eastAsia="黑体"/>
          <w:color w:val="auto"/>
          <w:sz w:val="32"/>
          <w:szCs w:val="22"/>
          <w:lang w:val="zh-CN"/>
        </w:rPr>
      </w:pPr>
      <w:r>
        <w:rPr>
          <w:rFonts w:hint="eastAsia" w:ascii="黑体" w:eastAsia="黑体"/>
          <w:color w:val="auto"/>
          <w:sz w:val="32"/>
          <w:szCs w:val="22"/>
        </w:rPr>
        <w:t>采 购</w:t>
      </w:r>
      <w:r>
        <w:rPr>
          <w:rFonts w:ascii="黑体" w:eastAsia="黑体"/>
          <w:color w:val="auto"/>
          <w:sz w:val="32"/>
          <w:szCs w:val="22"/>
          <w:lang w:val="zh-CN"/>
        </w:rPr>
        <w:t xml:space="preserve"> 人：</w:t>
      </w:r>
      <w:r>
        <w:rPr>
          <w:rFonts w:hint="eastAsia" w:ascii="黑体" w:eastAsia="黑体"/>
          <w:color w:val="auto"/>
          <w:sz w:val="30"/>
          <w:szCs w:val="30"/>
        </w:rPr>
        <w:t>常州市天宁区青龙街道社区服务中心</w:t>
      </w:r>
      <w:r>
        <w:rPr>
          <w:rFonts w:hint="eastAsia" w:ascii="黑体" w:eastAsia="黑体"/>
          <w:color w:val="auto"/>
          <w:sz w:val="30"/>
          <w:szCs w:val="30"/>
          <w:lang w:val="zh-CN"/>
        </w:rPr>
        <w:t>（</w:t>
      </w:r>
      <w:r>
        <w:rPr>
          <w:rFonts w:ascii="黑体" w:eastAsia="黑体"/>
          <w:color w:val="auto"/>
          <w:sz w:val="30"/>
          <w:szCs w:val="30"/>
          <w:lang w:val="zh-CN"/>
        </w:rPr>
        <w:t>单位盖章）</w:t>
      </w:r>
    </w:p>
    <w:p>
      <w:pPr>
        <w:tabs>
          <w:tab w:val="left" w:pos="567"/>
          <w:tab w:val="left" w:pos="851"/>
          <w:tab w:val="left" w:pos="1134"/>
        </w:tabs>
        <w:autoSpaceDE w:val="0"/>
        <w:autoSpaceDN w:val="0"/>
        <w:spacing w:line="700" w:lineRule="exact"/>
        <w:rPr>
          <w:rFonts w:ascii="黑体" w:eastAsia="黑体"/>
          <w:color w:val="auto"/>
          <w:sz w:val="30"/>
          <w:szCs w:val="30"/>
        </w:rPr>
      </w:pPr>
      <w:r>
        <w:rPr>
          <w:rFonts w:ascii="黑体" w:eastAsia="黑体"/>
          <w:color w:val="auto"/>
          <w:sz w:val="32"/>
          <w:szCs w:val="22"/>
          <w:lang w:val="zh-CN"/>
        </w:rPr>
        <w:t>项目名称：</w:t>
      </w:r>
      <w:r>
        <w:rPr>
          <w:rFonts w:hint="eastAsia" w:ascii="黑体" w:eastAsia="黑体"/>
          <w:color w:val="auto"/>
          <w:sz w:val="30"/>
          <w:szCs w:val="30"/>
        </w:rPr>
        <w:t>北塘河绿地彩虹城体育公园北侧河边栈道改造项目</w:t>
      </w:r>
    </w:p>
    <w:p>
      <w:pPr>
        <w:tabs>
          <w:tab w:val="left" w:pos="567"/>
          <w:tab w:val="left" w:pos="851"/>
          <w:tab w:val="left" w:pos="1134"/>
        </w:tabs>
        <w:autoSpaceDE w:val="0"/>
        <w:autoSpaceDN w:val="0"/>
        <w:spacing w:line="700" w:lineRule="exact"/>
        <w:rPr>
          <w:color w:val="auto"/>
          <w:sz w:val="30"/>
          <w:szCs w:val="30"/>
        </w:rPr>
      </w:pPr>
      <w:r>
        <w:rPr>
          <w:rFonts w:ascii="黑体" w:eastAsia="黑体"/>
          <w:color w:val="auto"/>
          <w:sz w:val="32"/>
          <w:szCs w:val="22"/>
          <w:lang w:val="zh-CN"/>
        </w:rPr>
        <w:t>代理公司：</w:t>
      </w:r>
      <w:r>
        <w:rPr>
          <w:rFonts w:hint="eastAsia" w:ascii="黑体" w:eastAsia="黑体"/>
          <w:color w:val="auto"/>
          <w:sz w:val="30"/>
          <w:szCs w:val="30"/>
          <w:lang w:val="zh-CN"/>
        </w:rPr>
        <w:t>江苏畅誉项目管理</w:t>
      </w:r>
      <w:r>
        <w:rPr>
          <w:rFonts w:ascii="黑体" w:eastAsia="黑体"/>
          <w:color w:val="auto"/>
          <w:sz w:val="30"/>
          <w:szCs w:val="30"/>
          <w:lang w:val="zh-CN"/>
        </w:rPr>
        <w:t>有限公司（单位盖章）</w:t>
      </w:r>
    </w:p>
    <w:p>
      <w:pPr>
        <w:snapToGrid w:val="0"/>
        <w:spacing w:line="360" w:lineRule="auto"/>
        <w:jc w:val="center"/>
        <w:rPr>
          <w:rFonts w:asciiTheme="minorEastAsia" w:hAnsiTheme="minorEastAsia" w:eastAsiaTheme="minorEastAsia" w:cstheme="minorEastAsia"/>
          <w:bCs/>
          <w:color w:val="auto"/>
          <w:sz w:val="44"/>
          <w:szCs w:val="44"/>
        </w:rPr>
        <w:sectPr>
          <w:headerReference r:id="rId4"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p>
      <w:pPr>
        <w:snapToGrid w:val="0"/>
        <w:spacing w:line="360" w:lineRule="auto"/>
        <w:jc w:val="center"/>
        <w:rPr>
          <w:rFonts w:asciiTheme="minorEastAsia" w:hAnsiTheme="minorEastAsia" w:eastAsiaTheme="minorEastAsia" w:cstheme="minorEastAsia"/>
          <w:b/>
          <w:color w:val="auto"/>
          <w:sz w:val="56"/>
          <w:szCs w:val="52"/>
        </w:rPr>
      </w:pPr>
      <w:r>
        <w:rPr>
          <w:rFonts w:hint="eastAsia" w:asciiTheme="minorEastAsia" w:hAnsiTheme="minorEastAsia" w:eastAsiaTheme="minorEastAsia" w:cstheme="minorEastAsia"/>
          <w:b/>
          <w:color w:val="auto"/>
          <w:sz w:val="52"/>
          <w:szCs w:val="52"/>
        </w:rPr>
        <w:t>目   录</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rFonts w:hint="eastAsia" w:asciiTheme="minorEastAsia" w:hAnsiTheme="minorEastAsia" w:eastAsiaTheme="minorEastAsia" w:cstheme="minorEastAsia"/>
          <w:bCs w:val="0"/>
          <w:color w:val="auto"/>
          <w:sz w:val="44"/>
          <w:szCs w:val="44"/>
        </w:rPr>
        <w:fldChar w:fldCharType="begin"/>
      </w:r>
      <w:r>
        <w:rPr>
          <w:rFonts w:hint="eastAsia" w:asciiTheme="minorEastAsia" w:hAnsiTheme="minorEastAsia" w:eastAsiaTheme="minorEastAsia" w:cstheme="minorEastAsia"/>
          <w:bCs w:val="0"/>
          <w:color w:val="auto"/>
          <w:sz w:val="44"/>
          <w:szCs w:val="44"/>
        </w:rPr>
        <w:instrText xml:space="preserve"> TOC \o "1-1" \h \z \u </w:instrText>
      </w:r>
      <w:r>
        <w:rPr>
          <w:rFonts w:hint="eastAsia" w:asciiTheme="minorEastAsia" w:hAnsiTheme="minorEastAsia" w:eastAsiaTheme="minorEastAsia" w:cstheme="minorEastAsia"/>
          <w:bCs w:val="0"/>
          <w:color w:val="auto"/>
          <w:sz w:val="44"/>
          <w:szCs w:val="44"/>
        </w:rPr>
        <w:fldChar w:fldCharType="separate"/>
      </w:r>
      <w:r>
        <w:rPr>
          <w:color w:val="auto"/>
        </w:rPr>
        <w:fldChar w:fldCharType="begin"/>
      </w:r>
      <w:r>
        <w:rPr>
          <w:color w:val="auto"/>
        </w:rPr>
        <w:instrText xml:space="preserve"> HYPERLINK \l "_Toc471818699" </w:instrText>
      </w:r>
      <w:r>
        <w:rPr>
          <w:color w:val="auto"/>
        </w:rPr>
        <w:fldChar w:fldCharType="separate"/>
      </w:r>
      <w:r>
        <w:rPr>
          <w:rFonts w:hint="eastAsia" w:asciiTheme="minorEastAsia" w:hAnsiTheme="minorEastAsia" w:eastAsiaTheme="minorEastAsia" w:cstheme="minorEastAsia"/>
          <w:bCs w:val="0"/>
          <w:color w:val="auto"/>
          <w:sz w:val="44"/>
          <w:szCs w:val="44"/>
        </w:rPr>
        <w:t>竞争性磋商采购公告</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t>2</w:t>
      </w:r>
      <w:r>
        <w:rPr>
          <w:rFonts w:hint="eastAsia" w:asciiTheme="minorEastAsia" w:hAnsiTheme="minorEastAsia" w:eastAsiaTheme="minorEastAsia" w:cstheme="minorEastAsia"/>
          <w:bCs w:val="0"/>
          <w:color w:val="auto"/>
          <w:sz w:val="44"/>
          <w:szCs w:val="44"/>
        </w:rPr>
        <w:fldChar w:fldCharType="end"/>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"_Toc471818700" </w:instrText>
      </w:r>
      <w:r>
        <w:rPr>
          <w:color w:val="auto"/>
        </w:rPr>
        <w:fldChar w:fldCharType="separate"/>
      </w:r>
      <w:r>
        <w:rPr>
          <w:rFonts w:hint="eastAsia" w:asciiTheme="minorEastAsia" w:hAnsiTheme="minorEastAsia" w:eastAsiaTheme="minorEastAsia" w:cstheme="minorEastAsia"/>
          <w:bCs w:val="0"/>
          <w:color w:val="auto"/>
          <w:sz w:val="44"/>
          <w:szCs w:val="44"/>
        </w:rPr>
        <w:t>第一章 总  则</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fldChar w:fldCharType="end"/>
      </w:r>
      <w:r>
        <w:rPr>
          <w:rFonts w:asciiTheme="minorEastAsia" w:hAnsiTheme="minorEastAsia" w:eastAsiaTheme="minorEastAsia" w:cstheme="minorEastAsia"/>
          <w:bCs w:val="0"/>
          <w:color w:val="auto"/>
          <w:sz w:val="44"/>
          <w:szCs w:val="44"/>
        </w:rPr>
        <w:t>6</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"_Toc471818701" </w:instrText>
      </w:r>
      <w:r>
        <w:rPr>
          <w:color w:val="auto"/>
        </w:rPr>
        <w:fldChar w:fldCharType="separate"/>
      </w:r>
      <w:r>
        <w:rPr>
          <w:rFonts w:hint="eastAsia" w:asciiTheme="minorEastAsia" w:hAnsiTheme="minorEastAsia" w:eastAsiaTheme="minorEastAsia" w:cstheme="minorEastAsia"/>
          <w:bCs w:val="0"/>
          <w:color w:val="auto"/>
          <w:sz w:val="44"/>
          <w:szCs w:val="44"/>
        </w:rPr>
        <w:t>第二章 响应文件</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fldChar w:fldCharType="end"/>
      </w:r>
      <w:r>
        <w:rPr>
          <w:rFonts w:asciiTheme="minorEastAsia" w:hAnsiTheme="minorEastAsia" w:eastAsiaTheme="minorEastAsia" w:cstheme="minorEastAsia"/>
          <w:bCs w:val="0"/>
          <w:color w:val="auto"/>
          <w:sz w:val="44"/>
          <w:szCs w:val="44"/>
        </w:rPr>
        <w:t>8</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"_Toc471818702" </w:instrText>
      </w:r>
      <w:r>
        <w:rPr>
          <w:color w:val="auto"/>
        </w:rPr>
        <w:fldChar w:fldCharType="separate"/>
      </w:r>
      <w:r>
        <w:rPr>
          <w:rFonts w:hint="eastAsia" w:asciiTheme="minorEastAsia" w:hAnsiTheme="minorEastAsia" w:eastAsiaTheme="minorEastAsia" w:cstheme="minorEastAsia"/>
          <w:bCs w:val="0"/>
          <w:color w:val="auto"/>
          <w:sz w:val="44"/>
          <w:szCs w:val="44"/>
        </w:rPr>
        <w:t>第三章 响应文件密封和提交</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t>1</w:t>
      </w:r>
      <w:r>
        <w:rPr>
          <w:rFonts w:hint="eastAsia" w:asciiTheme="minorEastAsia" w:hAnsiTheme="minorEastAsia" w:eastAsiaTheme="minorEastAsia" w:cstheme="minorEastAsia"/>
          <w:bCs w:val="0"/>
          <w:color w:val="auto"/>
          <w:sz w:val="44"/>
          <w:szCs w:val="44"/>
        </w:rPr>
        <w:fldChar w:fldCharType="end"/>
      </w:r>
      <w:r>
        <w:rPr>
          <w:rFonts w:asciiTheme="minorEastAsia" w:hAnsiTheme="minorEastAsia" w:eastAsiaTheme="minorEastAsia" w:cstheme="minorEastAsia"/>
          <w:bCs w:val="0"/>
          <w:color w:val="auto"/>
          <w:sz w:val="44"/>
          <w:szCs w:val="44"/>
        </w:rPr>
        <w:t>0</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"_Toc471818703" </w:instrText>
      </w:r>
      <w:r>
        <w:rPr>
          <w:color w:val="auto"/>
        </w:rPr>
        <w:fldChar w:fldCharType="separate"/>
      </w:r>
      <w:r>
        <w:rPr>
          <w:rFonts w:hint="eastAsia" w:asciiTheme="minorEastAsia" w:hAnsiTheme="minorEastAsia" w:eastAsiaTheme="minorEastAsia" w:cstheme="minorEastAsia"/>
          <w:bCs w:val="0"/>
          <w:color w:val="auto"/>
          <w:sz w:val="44"/>
          <w:szCs w:val="44"/>
        </w:rPr>
        <w:t>第四章 磋商报价</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t>1</w:t>
      </w:r>
      <w:r>
        <w:rPr>
          <w:rFonts w:hint="eastAsia" w:asciiTheme="minorEastAsia" w:hAnsiTheme="minorEastAsia" w:eastAsiaTheme="minorEastAsia" w:cstheme="minorEastAsia"/>
          <w:bCs w:val="0"/>
          <w:color w:val="auto"/>
          <w:sz w:val="44"/>
          <w:szCs w:val="44"/>
        </w:rPr>
        <w:fldChar w:fldCharType="end"/>
      </w:r>
      <w:r>
        <w:rPr>
          <w:rFonts w:asciiTheme="minorEastAsia" w:hAnsiTheme="minorEastAsia" w:eastAsiaTheme="minorEastAsia" w:cstheme="minorEastAsia"/>
          <w:bCs w:val="0"/>
          <w:color w:val="auto"/>
          <w:sz w:val="44"/>
          <w:szCs w:val="44"/>
        </w:rPr>
        <w:t>1</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"_Toc471818704" </w:instrText>
      </w:r>
      <w:r>
        <w:rPr>
          <w:color w:val="auto"/>
        </w:rPr>
        <w:fldChar w:fldCharType="separate"/>
      </w:r>
      <w:r>
        <w:rPr>
          <w:rFonts w:hint="eastAsia" w:asciiTheme="minorEastAsia" w:hAnsiTheme="minorEastAsia" w:eastAsiaTheme="minorEastAsia" w:cstheme="minorEastAsia"/>
          <w:bCs w:val="0"/>
          <w:color w:val="auto"/>
          <w:sz w:val="44"/>
          <w:szCs w:val="44"/>
        </w:rPr>
        <w:t>第五章 磋商、评审、评定成交</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fldChar w:fldCharType="end"/>
      </w:r>
      <w:r>
        <w:rPr>
          <w:rFonts w:hint="eastAsia" w:asciiTheme="minorEastAsia" w:hAnsiTheme="minorEastAsia" w:eastAsiaTheme="minorEastAsia" w:cstheme="minorEastAsia"/>
          <w:bCs w:val="0"/>
          <w:color w:val="auto"/>
          <w:sz w:val="44"/>
          <w:szCs w:val="44"/>
        </w:rPr>
        <w:t>1</w:t>
      </w:r>
      <w:r>
        <w:rPr>
          <w:rFonts w:asciiTheme="minorEastAsia" w:hAnsiTheme="minorEastAsia" w:eastAsiaTheme="minorEastAsia" w:cstheme="minorEastAsia"/>
          <w:bCs w:val="0"/>
          <w:color w:val="auto"/>
          <w:sz w:val="44"/>
          <w:szCs w:val="44"/>
        </w:rPr>
        <w:t>2</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"_Toc471818705" </w:instrText>
      </w:r>
      <w:r>
        <w:rPr>
          <w:color w:val="auto"/>
        </w:rPr>
        <w:fldChar w:fldCharType="separate"/>
      </w:r>
      <w:r>
        <w:rPr>
          <w:rFonts w:hint="eastAsia" w:asciiTheme="minorEastAsia" w:hAnsiTheme="minorEastAsia" w:eastAsiaTheme="minorEastAsia" w:cstheme="minorEastAsia"/>
          <w:bCs w:val="0"/>
          <w:color w:val="auto"/>
          <w:sz w:val="44"/>
          <w:szCs w:val="44"/>
        </w:rPr>
        <w:t>第六章 格式附表</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fldChar w:fldCharType="end"/>
      </w:r>
      <w:r>
        <w:rPr>
          <w:rFonts w:hint="eastAsia" w:asciiTheme="minorEastAsia" w:hAnsiTheme="minorEastAsia" w:eastAsiaTheme="minorEastAsia" w:cstheme="minorEastAsia"/>
          <w:bCs w:val="0"/>
          <w:color w:val="auto"/>
          <w:sz w:val="44"/>
          <w:szCs w:val="44"/>
        </w:rPr>
        <w:t>1</w:t>
      </w:r>
      <w:r>
        <w:rPr>
          <w:rFonts w:asciiTheme="minorEastAsia" w:hAnsiTheme="minorEastAsia" w:eastAsiaTheme="minorEastAsia" w:cstheme="minorEastAsia"/>
          <w:bCs w:val="0"/>
          <w:color w:val="auto"/>
          <w:sz w:val="44"/>
          <w:szCs w:val="44"/>
        </w:rPr>
        <w:t>5</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"_Toc471818706" </w:instrText>
      </w:r>
      <w:r>
        <w:rPr>
          <w:color w:val="auto"/>
        </w:rPr>
        <w:fldChar w:fldCharType="separate"/>
      </w:r>
      <w:r>
        <w:rPr>
          <w:rFonts w:hint="eastAsia" w:asciiTheme="minorEastAsia" w:hAnsiTheme="minorEastAsia" w:eastAsiaTheme="minorEastAsia" w:cstheme="minorEastAsia"/>
          <w:bCs w:val="0"/>
          <w:color w:val="auto"/>
          <w:sz w:val="44"/>
          <w:szCs w:val="44"/>
        </w:rPr>
        <w:t xml:space="preserve">第七章 </w:t>
      </w:r>
      <w:bookmarkStart w:id="3" w:name="_Hlt475521486"/>
      <w:bookmarkStart w:id="4" w:name="_Hlt475521487"/>
      <w:r>
        <w:rPr>
          <w:rFonts w:hint="eastAsia" w:asciiTheme="minorEastAsia" w:hAnsiTheme="minorEastAsia" w:eastAsiaTheme="minorEastAsia" w:cstheme="minorEastAsia"/>
          <w:bCs w:val="0"/>
          <w:color w:val="auto"/>
          <w:sz w:val="44"/>
          <w:szCs w:val="44"/>
        </w:rPr>
        <w:t>采</w:t>
      </w:r>
      <w:bookmarkEnd w:id="3"/>
      <w:bookmarkEnd w:id="4"/>
      <w:r>
        <w:rPr>
          <w:rFonts w:hint="eastAsia" w:asciiTheme="minorEastAsia" w:hAnsiTheme="minorEastAsia" w:eastAsiaTheme="minorEastAsia" w:cstheme="minorEastAsia"/>
          <w:bCs w:val="0"/>
          <w:color w:val="auto"/>
          <w:sz w:val="44"/>
          <w:szCs w:val="44"/>
        </w:rPr>
        <w:t>购需求</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t>2</w:t>
      </w:r>
      <w:r>
        <w:rPr>
          <w:rFonts w:hint="eastAsia" w:asciiTheme="minorEastAsia" w:hAnsiTheme="minorEastAsia" w:eastAsiaTheme="minorEastAsia" w:cstheme="minorEastAsia"/>
          <w:bCs w:val="0"/>
          <w:color w:val="auto"/>
          <w:sz w:val="44"/>
          <w:szCs w:val="44"/>
        </w:rPr>
        <w:fldChar w:fldCharType="end"/>
      </w:r>
      <w:r>
        <w:rPr>
          <w:rFonts w:asciiTheme="minorEastAsia" w:hAnsiTheme="minorEastAsia" w:eastAsiaTheme="minorEastAsia" w:cstheme="minorEastAsia"/>
          <w:bCs w:val="0"/>
          <w:color w:val="auto"/>
          <w:sz w:val="44"/>
          <w:szCs w:val="44"/>
        </w:rPr>
        <w:t>3</w:t>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"_Toc471818707" </w:instrText>
      </w:r>
      <w:r>
        <w:rPr>
          <w:color w:val="auto"/>
        </w:rPr>
        <w:fldChar w:fldCharType="separate"/>
      </w:r>
      <w:r>
        <w:rPr>
          <w:rFonts w:hint="eastAsia" w:asciiTheme="minorEastAsia" w:hAnsiTheme="minorEastAsia" w:eastAsiaTheme="minorEastAsia" w:cstheme="minorEastAsia"/>
          <w:bCs w:val="0"/>
          <w:color w:val="auto"/>
          <w:sz w:val="44"/>
          <w:szCs w:val="44"/>
        </w:rPr>
        <w:t>第八章 评审办法</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fldChar w:fldCharType="end"/>
      </w:r>
      <w:r>
        <w:rPr>
          <w:rFonts w:hint="eastAsia" w:asciiTheme="minorEastAsia" w:hAnsiTheme="minorEastAsia" w:eastAsiaTheme="minorEastAsia" w:cstheme="minorEastAsia"/>
          <w:bCs w:val="0"/>
          <w:color w:val="auto"/>
          <w:sz w:val="44"/>
          <w:szCs w:val="44"/>
        </w:rPr>
        <w:t>2</w:t>
      </w:r>
      <w:r>
        <w:rPr>
          <w:rFonts w:asciiTheme="minorEastAsia" w:hAnsiTheme="minorEastAsia" w:eastAsiaTheme="minorEastAsia" w:cstheme="minorEastAsia"/>
          <w:bCs w:val="0"/>
          <w:color w:val="auto"/>
          <w:sz w:val="44"/>
          <w:szCs w:val="44"/>
        </w:rPr>
        <w:t>4</w:t>
      </w:r>
    </w:p>
    <w:p>
      <w:pPr>
        <w:adjustRightInd w:val="0"/>
        <w:snapToGrid w:val="0"/>
        <w:spacing w:line="360" w:lineRule="auto"/>
        <w:ind w:firstLine="883" w:firstLineChars="200"/>
        <w:rPr>
          <w:rFonts w:asciiTheme="minorEastAsia" w:hAnsiTheme="minorEastAsia" w:eastAsiaTheme="minorEastAsia" w:cstheme="minorEastAsia"/>
          <w:b/>
          <w:color w:val="auto"/>
          <w:sz w:val="22"/>
        </w:rPr>
        <w:sectPr>
          <w:footerReference r:id="rId7" w:type="first"/>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b/>
          <w:color w:val="auto"/>
          <w:sz w:val="44"/>
          <w:szCs w:val="44"/>
        </w:rPr>
        <w:fldChar w:fldCharType="end"/>
      </w: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p>
    <w:p>
      <w:pPr>
        <w:pStyle w:val="11"/>
        <w:tabs>
          <w:tab w:val="right" w:leader="dot" w:pos="8296"/>
        </w:tabs>
        <w:spacing w:before="0" w:after="0" w:line="360" w:lineRule="auto"/>
        <w:rPr>
          <w:rFonts w:asciiTheme="minorEastAsia" w:hAnsiTheme="minorEastAsia" w:eastAsiaTheme="minorEastAsia" w:cstheme="minorEastAsia"/>
          <w:bCs w:val="0"/>
          <w:color w:val="auto"/>
          <w:sz w:val="44"/>
          <w:szCs w:val="44"/>
        </w:rPr>
      </w:pPr>
      <w:r>
        <w:rPr>
          <w:color w:val="auto"/>
        </w:rPr>
        <w:fldChar w:fldCharType="begin"/>
      </w:r>
      <w:r>
        <w:rPr>
          <w:color w:val="auto"/>
        </w:rPr>
        <w:instrText xml:space="preserve"> HYPERLINK \l "_Toc471818707" </w:instrText>
      </w:r>
      <w:r>
        <w:rPr>
          <w:color w:val="auto"/>
        </w:rPr>
        <w:fldChar w:fldCharType="separate"/>
      </w:r>
      <w:r>
        <w:rPr>
          <w:rFonts w:hint="eastAsia" w:asciiTheme="minorEastAsia" w:hAnsiTheme="minorEastAsia" w:eastAsiaTheme="minorEastAsia" w:cstheme="minorEastAsia"/>
          <w:bCs w:val="0"/>
          <w:color w:val="auto"/>
          <w:sz w:val="44"/>
          <w:szCs w:val="44"/>
        </w:rPr>
        <w:t>第九章 合同</w:t>
      </w:r>
      <w:r>
        <w:rPr>
          <w:rFonts w:hint="eastAsia" w:asciiTheme="minorEastAsia" w:hAnsiTheme="minorEastAsia" w:eastAsiaTheme="minorEastAsia" w:cstheme="minorEastAsia"/>
          <w:bCs w:val="0"/>
          <w:color w:val="auto"/>
          <w:sz w:val="44"/>
          <w:szCs w:val="44"/>
        </w:rPr>
        <w:tab/>
      </w:r>
      <w:r>
        <w:rPr>
          <w:rFonts w:hint="eastAsia" w:asciiTheme="minorEastAsia" w:hAnsiTheme="minorEastAsia" w:eastAsiaTheme="minorEastAsia" w:cstheme="minorEastAsia"/>
          <w:bCs w:val="0"/>
          <w:color w:val="auto"/>
          <w:sz w:val="44"/>
          <w:szCs w:val="44"/>
        </w:rPr>
        <w:fldChar w:fldCharType="end"/>
      </w:r>
      <w:r>
        <w:rPr>
          <w:rFonts w:asciiTheme="minorEastAsia" w:hAnsiTheme="minorEastAsia" w:eastAsiaTheme="minorEastAsia" w:cstheme="minorEastAsia"/>
          <w:bCs w:val="0"/>
          <w:color w:val="auto"/>
          <w:sz w:val="44"/>
          <w:szCs w:val="44"/>
        </w:rPr>
        <w:t>26</w:t>
      </w:r>
    </w:p>
    <w:p>
      <w:pPr>
        <w:pStyle w:val="3"/>
        <w:numPr>
          <w:ilvl w:val="0"/>
          <w:numId w:val="0"/>
        </w:numPr>
        <w:snapToGrid w:val="0"/>
        <w:spacing w:before="0" w:line="360" w:lineRule="auto"/>
        <w:ind w:left="840" w:leftChars="400" w:firstLine="1908" w:firstLineChars="396"/>
        <w:jc w:val="both"/>
        <w:rPr>
          <w:rFonts w:asciiTheme="minorEastAsia" w:hAnsiTheme="minorEastAsia" w:eastAsiaTheme="minorEastAsia" w:cstheme="minorEastAsia"/>
          <w:color w:val="auto"/>
          <w:sz w:val="48"/>
          <w:szCs w:val="22"/>
        </w:rPr>
        <w:sectPr>
          <w:footerReference r:id="rId9" w:type="first"/>
          <w:footerReference r:id="rId8" w:type="default"/>
          <w:type w:val="continuous"/>
          <w:pgSz w:w="11906" w:h="16838"/>
          <w:pgMar w:top="1440" w:right="1800" w:bottom="1440" w:left="1800" w:header="851" w:footer="992" w:gutter="0"/>
          <w:cols w:space="720" w:num="1"/>
          <w:titlePg/>
          <w:docGrid w:type="lines" w:linePitch="312" w:charSpace="0"/>
        </w:sectPr>
      </w:pPr>
    </w:p>
    <w:p>
      <w:pPr>
        <w:pStyle w:val="18"/>
        <w:keepNext/>
        <w:keepLines/>
        <w:spacing w:before="156" w:beforeLines="50" w:after="0" w:line="360" w:lineRule="auto"/>
        <w:ind w:left="-420" w:leftChars="-200"/>
        <w:rPr>
          <w:rFonts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sz w:val="36"/>
          <w:szCs w:val="36"/>
          <w:lang w:val="en-US" w:eastAsia="zh-CN"/>
        </w:rPr>
        <w:t>北塘河绿地彩虹城体育公园北侧河边栈道改造项目</w:t>
      </w:r>
    </w:p>
    <w:p>
      <w:pPr>
        <w:pStyle w:val="18"/>
        <w:keepNext/>
        <w:keepLines/>
        <w:spacing w:before="156" w:beforeLines="50" w:after="0"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z w:val="36"/>
          <w:szCs w:val="36"/>
        </w:rPr>
        <w:t>竞争性</w:t>
      </w:r>
      <w:r>
        <w:rPr>
          <w:rFonts w:hint="eastAsia" w:asciiTheme="minorEastAsia" w:hAnsiTheme="minorEastAsia" w:eastAsiaTheme="minorEastAsia" w:cstheme="minorEastAsia"/>
          <w:b/>
          <w:bCs/>
          <w:color w:val="auto"/>
          <w:sz w:val="36"/>
          <w:szCs w:val="36"/>
          <w:lang w:val="en-US" w:eastAsia="zh-CN"/>
        </w:rPr>
        <w:t>磋商</w:t>
      </w:r>
      <w:r>
        <w:rPr>
          <w:rFonts w:hint="eastAsia" w:asciiTheme="minorEastAsia" w:hAnsiTheme="minorEastAsia" w:eastAsiaTheme="minorEastAsia" w:cstheme="minorEastAsia"/>
          <w:b/>
          <w:bCs/>
          <w:color w:val="auto"/>
          <w:sz w:val="36"/>
          <w:szCs w:val="36"/>
        </w:rPr>
        <w:t>公告</w:t>
      </w:r>
      <w:bookmarkEnd w:id="0"/>
      <w:bookmarkEnd w:id="1"/>
      <w:bookmarkEnd w:id="2"/>
    </w:p>
    <w:p>
      <w:pPr>
        <w:pStyle w:val="19"/>
        <w:pBdr>
          <w:top w:val="single" w:color="auto" w:sz="4" w:space="0"/>
          <w:left w:val="single" w:color="auto" w:sz="4" w:space="0"/>
          <w:bottom w:val="single" w:color="auto" w:sz="4" w:space="0"/>
          <w:right w:val="single" w:color="auto" w:sz="4" w:space="0"/>
        </w:pBdr>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项目概况：</w:t>
      </w:r>
      <w:r>
        <w:rPr>
          <w:rFonts w:hint="eastAsia" w:asciiTheme="minorEastAsia" w:hAnsiTheme="minorEastAsia" w:eastAsiaTheme="minorEastAsia" w:cstheme="minorEastAsia"/>
          <w:color w:val="auto"/>
          <w:sz w:val="24"/>
          <w:szCs w:val="24"/>
          <w:u w:val="single"/>
          <w:lang w:val="en-US" w:eastAsia="zh-CN"/>
        </w:rPr>
        <w:t>北塘河绿地彩虹城体育公园北侧河边栈道改造项目的</w:t>
      </w:r>
      <w:r>
        <w:rPr>
          <w:rFonts w:hint="eastAsia" w:asciiTheme="minorEastAsia" w:hAnsiTheme="minorEastAsia" w:eastAsiaTheme="minorEastAsia" w:cstheme="minorEastAsia"/>
          <w:color w:val="auto"/>
          <w:sz w:val="24"/>
          <w:szCs w:val="24"/>
        </w:rPr>
        <w:t>潜在供应商应在</w:t>
      </w:r>
      <w:r>
        <w:rPr>
          <w:rFonts w:hint="eastAsia" w:asciiTheme="minorEastAsia" w:hAnsiTheme="minorEastAsia" w:eastAsiaTheme="minorEastAsia" w:cstheme="minorEastAsia"/>
          <w:color w:val="auto"/>
          <w:sz w:val="24"/>
          <w:szCs w:val="24"/>
          <w:lang w:val="en-US" w:eastAsia="zh-CN"/>
        </w:rPr>
        <w:t>常州市天宁区弘智路7号B座3楼</w:t>
      </w:r>
      <w:r>
        <w:rPr>
          <w:rFonts w:hint="eastAsia" w:asciiTheme="minorEastAsia" w:hAnsiTheme="minorEastAsia" w:eastAsiaTheme="minorEastAsia" w:cstheme="minorEastAsia"/>
          <w:color w:val="auto"/>
          <w:sz w:val="24"/>
          <w:szCs w:val="24"/>
        </w:rPr>
        <w:t>获取釆购文件, 并于</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lang w:val="zh-CN" w:eastAsia="zh-CN" w:bidi="zh-CN"/>
        </w:rPr>
        <w:t>月</w:t>
      </w:r>
      <w:r>
        <w:rPr>
          <w:rFonts w:hint="eastAsia" w:asciiTheme="minorEastAsia" w:hAnsiTheme="minorEastAsia" w:eastAsiaTheme="minorEastAsia" w:cstheme="minorEastAsia"/>
          <w:color w:val="auto"/>
          <w:sz w:val="24"/>
          <w:szCs w:val="24"/>
          <w:u w:val="single"/>
          <w:lang w:val="en-US" w:eastAsia="zh-CN" w:bidi="zh-CN"/>
        </w:rPr>
        <w:t>31日</w:t>
      </w:r>
      <w:r>
        <w:rPr>
          <w:rFonts w:hint="eastAsia" w:asciiTheme="minorEastAsia" w:hAnsiTheme="minorEastAsia" w:eastAsiaTheme="minorEastAsia" w:cstheme="minorEastAsia"/>
          <w:color w:val="auto"/>
          <w:sz w:val="24"/>
          <w:szCs w:val="24"/>
          <w:u w:val="single"/>
          <w:lang w:val="zh-CN" w:eastAsia="zh-CN" w:bidi="zh-CN"/>
        </w:rPr>
        <w:t xml:space="preserve"> </w:t>
      </w:r>
      <w:r>
        <w:rPr>
          <w:rFonts w:hint="eastAsia" w:asciiTheme="minorEastAsia" w:hAnsiTheme="minorEastAsia" w:eastAsiaTheme="minorEastAsia" w:cstheme="minorEastAsia"/>
          <w:color w:val="auto"/>
          <w:sz w:val="24"/>
          <w:szCs w:val="24"/>
          <w:u w:val="single"/>
          <w:lang w:val="en-US" w:eastAsia="zh-CN" w:bidi="zh-CN"/>
        </w:rPr>
        <w:t>15</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 xml:space="preserve"> 分</w:t>
      </w:r>
      <w:r>
        <w:rPr>
          <w:rFonts w:hint="eastAsia" w:asciiTheme="minorEastAsia" w:hAnsiTheme="minorEastAsia" w:eastAsiaTheme="minorEastAsia" w:cstheme="minorEastAsia"/>
          <w:color w:val="auto"/>
          <w:sz w:val="24"/>
          <w:szCs w:val="24"/>
        </w:rPr>
        <w:t>（北京时间）前提交响应文件。</w:t>
      </w:r>
    </w:p>
    <w:p>
      <w:pPr>
        <w:pStyle w:val="19"/>
        <w:spacing w:before="156" w:beforeLines="50" w:line="360" w:lineRule="auto"/>
        <w:ind w:firstLine="0"/>
        <w:jc w:val="left"/>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一、项目基本情况</w:t>
      </w:r>
      <w:r>
        <w:rPr>
          <w:rFonts w:hint="eastAsia" w:asciiTheme="minorEastAsia" w:hAnsiTheme="minorEastAsia" w:eastAsiaTheme="minorEastAsia" w:cstheme="minorEastAsia"/>
          <w:color w:val="auto"/>
          <w:lang w:eastAsia="zh-CN"/>
        </w:rPr>
        <w:t>：</w:t>
      </w:r>
    </w:p>
    <w:p>
      <w:pPr>
        <w:pStyle w:val="19"/>
        <w:spacing w:before="156" w:beforeLines="50" w:line="360" w:lineRule="auto"/>
        <w:ind w:left="440" w:firstLine="540"/>
        <w:jc w:val="left"/>
        <w:rPr>
          <w:rFonts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项目编号</w:t>
      </w:r>
      <w:r>
        <w:rPr>
          <w:rFonts w:hint="eastAsia" w:asciiTheme="minorEastAsia" w:hAnsiTheme="minorEastAsia" w:eastAsiaTheme="minorEastAsia" w:cstheme="minorEastAsia"/>
          <w:b/>
          <w:bCs/>
          <w:color w:val="auto"/>
          <w:sz w:val="24"/>
          <w:szCs w:val="24"/>
          <w:lang w:eastAsia="zh-CN"/>
        </w:rPr>
        <w:t>：</w:t>
      </w:r>
      <w:r>
        <w:rPr>
          <w:rFonts w:hint="eastAsia" w:ascii="黑体" w:eastAsia="黑体"/>
          <w:color w:val="auto"/>
          <w:sz w:val="24"/>
          <w:szCs w:val="16"/>
          <w:lang w:val="en-US" w:eastAsia="zh-CN"/>
        </w:rPr>
        <w:t>JSCY竞采磋2021-003号</w:t>
      </w:r>
    </w:p>
    <w:p>
      <w:pPr>
        <w:pStyle w:val="19"/>
        <w:spacing w:before="156" w:beforeLines="50" w:line="360" w:lineRule="auto"/>
        <w:ind w:firstLine="980"/>
        <w:jc w:val="left"/>
        <w:rPr>
          <w:rFonts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项目名称：</w:t>
      </w:r>
      <w:r>
        <w:rPr>
          <w:rFonts w:hint="eastAsia" w:asciiTheme="minorEastAsia" w:hAnsiTheme="minorEastAsia" w:eastAsiaTheme="minorEastAsia" w:cstheme="minorEastAsia"/>
          <w:b/>
          <w:bCs/>
          <w:color w:val="auto"/>
          <w:sz w:val="24"/>
          <w:szCs w:val="24"/>
          <w:lang w:val="en-US" w:eastAsia="zh-CN"/>
        </w:rPr>
        <w:t>北塘河绿地彩虹城体育公园北侧河边栈道改造项目</w:t>
      </w:r>
    </w:p>
    <w:p>
      <w:pPr>
        <w:pStyle w:val="19"/>
        <w:spacing w:before="156" w:beforeLines="50" w:line="360" w:lineRule="auto"/>
        <w:ind w:firstLine="98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釆购方式：竞争性磋商</w:t>
      </w:r>
    </w:p>
    <w:p>
      <w:pPr>
        <w:pStyle w:val="19"/>
        <w:spacing w:before="156" w:beforeLines="50" w:line="360" w:lineRule="auto"/>
        <w:ind w:firstLine="980"/>
        <w:jc w:val="left"/>
        <w:rPr>
          <w:rFonts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预算金额：</w:t>
      </w:r>
      <w:r>
        <w:rPr>
          <w:rFonts w:hint="eastAsia" w:asciiTheme="minorEastAsia" w:hAnsiTheme="minorEastAsia" w:eastAsiaTheme="minorEastAsia" w:cstheme="minorEastAsia"/>
          <w:b/>
          <w:bCs/>
          <w:color w:val="auto"/>
          <w:sz w:val="24"/>
          <w:szCs w:val="24"/>
          <w:lang w:val="en-US" w:eastAsia="zh-CN"/>
        </w:rPr>
        <w:t>244676.79元</w:t>
      </w:r>
    </w:p>
    <w:p>
      <w:pPr>
        <w:pStyle w:val="19"/>
        <w:spacing w:before="156" w:beforeLines="50" w:line="360" w:lineRule="auto"/>
        <w:ind w:firstLine="98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rPr>
        <w:t>最高限价：</w:t>
      </w:r>
      <w:r>
        <w:rPr>
          <w:rFonts w:hint="eastAsia" w:asciiTheme="minorEastAsia" w:hAnsiTheme="minorEastAsia" w:eastAsiaTheme="minorEastAsia" w:cstheme="minorEastAsia"/>
          <w:b/>
          <w:bCs/>
          <w:color w:val="auto"/>
          <w:sz w:val="24"/>
          <w:szCs w:val="24"/>
          <w:lang w:val="en-US" w:eastAsia="zh-CN"/>
        </w:rPr>
        <w:t>244676.79元</w:t>
      </w:r>
    </w:p>
    <w:p>
      <w:pPr>
        <w:pStyle w:val="19"/>
        <w:spacing w:before="156" w:beforeLines="50" w:line="360" w:lineRule="auto"/>
        <w:ind w:firstLine="964" w:firstLineChars="400"/>
        <w:jc w:val="left"/>
        <w:rPr>
          <w:rFonts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4"/>
          <w:szCs w:val="24"/>
        </w:rPr>
        <w:t>采购需求：</w:t>
      </w:r>
      <w:r>
        <w:rPr>
          <w:rFonts w:hint="eastAsia" w:asciiTheme="minorEastAsia" w:hAnsiTheme="minorEastAsia" w:eastAsiaTheme="minorEastAsia" w:cstheme="minorEastAsia"/>
          <w:b/>
          <w:bCs/>
          <w:color w:val="auto"/>
          <w:sz w:val="21"/>
          <w:szCs w:val="21"/>
          <w:lang w:val="en-US" w:eastAsia="zh-CN"/>
        </w:rPr>
        <w:t>北塘河绿地彩虹城体育公园北侧河边栈道改造，详见工程量清单</w:t>
      </w:r>
    </w:p>
    <w:p>
      <w:pPr>
        <w:spacing w:before="156" w:beforeLines="50" w:line="360" w:lineRule="auto"/>
        <w:ind w:firstLine="964" w:firstLineChars="4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本项目不接受联合体。</w:t>
      </w:r>
    </w:p>
    <w:p>
      <w:pPr>
        <w:pStyle w:val="19"/>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申请人的资格要求：</w:t>
      </w:r>
    </w:p>
    <w:p>
      <w:pPr>
        <w:widowControl/>
        <w:spacing w:before="156" w:beforeLines="50" w:line="360" w:lineRule="auto"/>
        <w:ind w:firstLine="960" w:firstLineChars="4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1.满足《中华人民共和国政府采购法》第二十二条规定；</w:t>
      </w:r>
    </w:p>
    <w:p>
      <w:pPr>
        <w:widowControl/>
        <w:spacing w:before="156" w:beforeLines="50" w:line="360" w:lineRule="auto"/>
        <w:ind w:firstLine="960" w:firstLineChars="400"/>
        <w:jc w:val="left"/>
        <w:rPr>
          <w:rFonts w:asciiTheme="minorEastAsia" w:hAnsiTheme="minorEastAsia" w:eastAsiaTheme="minorEastAsia" w:cstheme="minorEastAsia"/>
          <w:color w:val="auto"/>
          <w:kern w:val="0"/>
          <w:sz w:val="24"/>
          <w:u w:val="single"/>
          <w:lang w:bidi="ar"/>
        </w:rPr>
      </w:pPr>
      <w:r>
        <w:rPr>
          <w:rFonts w:hint="eastAsia" w:asciiTheme="minorEastAsia" w:hAnsiTheme="minorEastAsia" w:eastAsiaTheme="minorEastAsia" w:cstheme="minorEastAsia"/>
          <w:color w:val="auto"/>
          <w:kern w:val="0"/>
          <w:sz w:val="24"/>
          <w:lang w:bidi="ar"/>
        </w:rPr>
        <w:t>2.落实政府采购政策需满足的资格要求：</w:t>
      </w:r>
      <w:r>
        <w:rPr>
          <w:rFonts w:hint="eastAsia" w:asciiTheme="minorEastAsia" w:hAnsiTheme="minorEastAsia" w:eastAsiaTheme="minorEastAsia" w:cstheme="minorEastAsia"/>
          <w:color w:val="auto"/>
          <w:kern w:val="0"/>
          <w:sz w:val="24"/>
          <w:u w:val="single"/>
          <w:lang w:bidi="ar"/>
        </w:rPr>
        <w:t>/</w:t>
      </w:r>
      <w:r>
        <w:rPr>
          <w:rFonts w:asciiTheme="minorEastAsia" w:hAnsiTheme="minorEastAsia" w:eastAsiaTheme="minorEastAsia" w:cstheme="minorEastAsia"/>
          <w:color w:val="auto"/>
          <w:kern w:val="0"/>
          <w:sz w:val="24"/>
          <w:u w:val="single"/>
          <w:lang w:bidi="ar"/>
        </w:rPr>
        <w:t xml:space="preserve"> </w:t>
      </w:r>
    </w:p>
    <w:p>
      <w:pPr>
        <w:widowControl/>
        <w:spacing w:before="156" w:beforeLines="50" w:line="360" w:lineRule="auto"/>
        <w:ind w:firstLine="960" w:firstLineChars="400"/>
        <w:jc w:val="left"/>
        <w:rPr>
          <w:rFonts w:asciiTheme="minorEastAsia" w:hAnsiTheme="minorEastAsia" w:eastAsiaTheme="minorEastAsia" w:cstheme="minorEastAsia"/>
          <w:color w:val="auto"/>
          <w:kern w:val="0"/>
          <w:sz w:val="24"/>
          <w:lang w:bidi="ar"/>
        </w:rPr>
      </w:pPr>
      <w:r>
        <w:rPr>
          <w:rFonts w:hint="eastAsia" w:asciiTheme="minorEastAsia" w:hAnsiTheme="minorEastAsia" w:eastAsiaTheme="minorEastAsia" w:cstheme="minorEastAsia"/>
          <w:color w:val="auto"/>
          <w:kern w:val="0"/>
          <w:sz w:val="24"/>
          <w:lang w:bidi="ar"/>
        </w:rPr>
        <w:t>3.本项目的特定资格要求：</w:t>
      </w:r>
    </w:p>
    <w:p>
      <w:pPr>
        <w:widowControl/>
        <w:spacing w:before="156" w:beforeLines="50" w:line="360" w:lineRule="auto"/>
        <w:ind w:firstLine="1200" w:firstLineChars="500"/>
        <w:jc w:val="left"/>
        <w:rPr>
          <w:rFonts w:asciiTheme="minorEastAsia" w:hAnsiTheme="minorEastAsia" w:eastAsiaTheme="minorEastAsia" w:cstheme="minorEastAsia"/>
          <w:color w:val="auto"/>
          <w:kern w:val="0"/>
          <w:sz w:val="24"/>
          <w:lang w:bidi="ar"/>
        </w:rPr>
      </w:pPr>
      <w:r>
        <w:rPr>
          <w:rFonts w:hint="eastAsia" w:asciiTheme="minorEastAsia" w:hAnsiTheme="minorEastAsia" w:eastAsiaTheme="minorEastAsia" w:cstheme="minorEastAsia"/>
          <w:color w:val="auto"/>
          <w:kern w:val="0"/>
          <w:sz w:val="24"/>
          <w:lang w:bidi="ar"/>
        </w:rPr>
        <w:t>（1）未被“信用中国”网站（WWW.creditchina.gov.cn）或“中国政府采购网”网站（www.ccgp.gov.cn）列入失信被执行人、重大税收违法案件当事人名单、政府采购严重失信行为记录名单；</w:t>
      </w:r>
    </w:p>
    <w:p>
      <w:pPr>
        <w:widowControl/>
        <w:spacing w:before="156" w:beforeLines="50" w:line="360" w:lineRule="auto"/>
        <w:ind w:firstLine="1200" w:firstLineChars="500"/>
        <w:jc w:val="left"/>
        <w:rPr>
          <w:rFonts w:asciiTheme="minorEastAsia" w:hAnsiTheme="minorEastAsia" w:eastAsiaTheme="minorEastAsia" w:cstheme="minorEastAsia"/>
          <w:color w:val="auto"/>
          <w:kern w:val="0"/>
          <w:sz w:val="24"/>
          <w:lang w:bidi="ar"/>
        </w:rPr>
      </w:pPr>
      <w:r>
        <w:rPr>
          <w:rFonts w:hint="eastAsia" w:asciiTheme="minorEastAsia" w:hAnsiTheme="minorEastAsia" w:eastAsiaTheme="minorEastAsia" w:cstheme="minorEastAsia"/>
          <w:color w:val="auto"/>
          <w:kern w:val="0"/>
          <w:sz w:val="24"/>
          <w:lang w:bidi="ar"/>
        </w:rPr>
        <w:t>（2）单位负责人为同一人或者存在直接控股、管理关系的不同供应商（包含法定代表人为同一个人的两个及两个以上法人，母公司、全资子公司及其控股公司），不得参加同一合同项下的政府采购活动；</w:t>
      </w:r>
    </w:p>
    <w:p>
      <w:pPr>
        <w:widowControl/>
        <w:spacing w:before="156" w:beforeLines="50" w:line="360" w:lineRule="auto"/>
        <w:ind w:firstLine="1200" w:firstLineChars="5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kern w:val="0"/>
          <w:sz w:val="24"/>
          <w:lang w:bidi="ar"/>
        </w:rPr>
        <w:t>（3）</w:t>
      </w:r>
      <w:r>
        <w:rPr>
          <w:rFonts w:hint="eastAsia" w:asciiTheme="minorEastAsia" w:hAnsiTheme="minorEastAsia" w:eastAsiaTheme="minorEastAsia" w:cstheme="minorEastAsia"/>
          <w:bCs/>
          <w:color w:val="auto"/>
          <w:sz w:val="24"/>
        </w:rPr>
        <w:t>具有独立履行合同所必须的资金实力和提供优质服务的能力；</w:t>
      </w:r>
    </w:p>
    <w:p>
      <w:pPr>
        <w:ind w:firstLine="1200" w:firstLineChars="5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kern w:val="0"/>
          <w:sz w:val="24"/>
          <w:lang w:bidi="ar"/>
        </w:rPr>
        <w:t>（4）</w:t>
      </w:r>
      <w:r>
        <w:rPr>
          <w:rFonts w:hint="eastAsia" w:ascii="宋体" w:hAnsi="宋体"/>
          <w:color w:val="auto"/>
          <w:sz w:val="24"/>
          <w:shd w:val="clear" w:color="auto" w:fill="FFFFFF"/>
        </w:rPr>
        <w:t>投标单位具有</w:t>
      </w:r>
      <w:r>
        <w:rPr>
          <w:rFonts w:hint="eastAsia" w:ascii="宋体" w:hAnsi="宋体"/>
          <w:color w:val="auto"/>
          <w:sz w:val="24"/>
        </w:rPr>
        <w:t>市政或水利工程</w:t>
      </w:r>
      <w:r>
        <w:rPr>
          <w:rFonts w:hint="eastAsia" w:ascii="宋体" w:hAnsi="宋体"/>
          <w:color w:val="auto"/>
          <w:sz w:val="24"/>
          <w:lang w:val="en-US" w:eastAsia="zh-CN"/>
        </w:rPr>
        <w:t>三</w:t>
      </w:r>
      <w:r>
        <w:rPr>
          <w:rFonts w:hint="eastAsia" w:ascii="宋体" w:hAnsi="宋体"/>
          <w:color w:val="auto"/>
          <w:sz w:val="24"/>
        </w:rPr>
        <w:t>级 (含)以上资质</w:t>
      </w:r>
      <w:r>
        <w:rPr>
          <w:rFonts w:hint="eastAsia" w:ascii="宋体" w:hAnsi="宋体"/>
          <w:color w:val="auto"/>
          <w:sz w:val="24"/>
          <w:shd w:val="clear" w:color="auto" w:fill="FFFFFF"/>
        </w:rPr>
        <w:t>；</w:t>
      </w:r>
      <w:r>
        <w:rPr>
          <w:rFonts w:ascii="宋体" w:hAnsi="宋体"/>
          <w:color w:val="auto"/>
          <w:sz w:val="24"/>
        </w:rPr>
        <w:t>具有有效期内企业安全生产许可证；</w:t>
      </w:r>
    </w:p>
    <w:p>
      <w:pPr>
        <w:widowControl/>
        <w:spacing w:before="156" w:beforeLines="50" w:line="360" w:lineRule="auto"/>
        <w:ind w:firstLine="1200" w:firstLineChars="500"/>
        <w:jc w:val="left"/>
        <w:rPr>
          <w:rFonts w:asciiTheme="minorEastAsia" w:hAnsiTheme="minorEastAsia" w:cstheme="minorEastAsia"/>
          <w:bCs/>
          <w:color w:val="auto"/>
          <w:sz w:val="24"/>
        </w:rPr>
      </w:pPr>
      <w:r>
        <w:rPr>
          <w:rFonts w:hint="eastAsia" w:asciiTheme="minorEastAsia" w:hAnsiTheme="minorEastAsia" w:eastAsiaTheme="minorEastAsia" w:cstheme="minorEastAsia"/>
          <w:bCs/>
          <w:color w:val="auto"/>
          <w:sz w:val="24"/>
        </w:rPr>
        <w:t>（5）</w:t>
      </w:r>
      <w:r>
        <w:rPr>
          <w:rFonts w:hint="eastAsia" w:ascii="宋体" w:hAnsi="宋体"/>
          <w:color w:val="auto"/>
          <w:sz w:val="24"/>
          <w:shd w:val="clear" w:color="auto" w:fill="FFFFFF"/>
        </w:rPr>
        <w:t>项目负责人具备市政或水利工程</w:t>
      </w:r>
      <w:r>
        <w:rPr>
          <w:rFonts w:hint="eastAsia" w:ascii="宋体" w:hAnsi="宋体"/>
          <w:color w:val="auto"/>
          <w:sz w:val="24"/>
          <w:shd w:val="clear" w:color="auto" w:fill="FFFFFF"/>
          <w:lang w:val="en-US" w:eastAsia="zh-CN"/>
        </w:rPr>
        <w:t>二</w:t>
      </w:r>
      <w:r>
        <w:rPr>
          <w:rFonts w:hint="eastAsia" w:ascii="宋体" w:hAnsi="宋体"/>
          <w:color w:val="auto"/>
          <w:sz w:val="24"/>
          <w:shd w:val="clear" w:color="auto" w:fill="FFFFFF"/>
        </w:rPr>
        <w:t>级(含)以上注册建造师；</w:t>
      </w:r>
      <w:r>
        <w:rPr>
          <w:rFonts w:ascii="宋体" w:hAnsi="宋体"/>
          <w:color w:val="auto"/>
          <w:sz w:val="24"/>
        </w:rPr>
        <w:t>具有有效的建设行政主管部门核发安全生产考核合格证（B证）</w:t>
      </w:r>
      <w:r>
        <w:rPr>
          <w:rFonts w:hint="eastAsia" w:ascii="宋体" w:hAnsi="宋体"/>
          <w:color w:val="auto"/>
          <w:sz w:val="24"/>
        </w:rPr>
        <w:t>。</w:t>
      </w:r>
    </w:p>
    <w:p>
      <w:pPr>
        <w:widowControl/>
        <w:spacing w:before="156" w:beforeLines="50" w:line="360" w:lineRule="auto"/>
        <w:ind w:firstLine="1200" w:firstLineChars="500"/>
        <w:jc w:val="left"/>
        <w:rPr>
          <w:rFonts w:asciiTheme="minorEastAsia" w:hAnsiTheme="minorEastAsia" w:eastAsiaTheme="minorEastAsia" w:cstheme="minorEastAsia"/>
          <w:bCs/>
          <w:color w:val="auto"/>
          <w:sz w:val="24"/>
        </w:rPr>
      </w:pPr>
    </w:p>
    <w:p>
      <w:pPr>
        <w:pStyle w:val="19"/>
        <w:tabs>
          <w:tab w:val="left" w:pos="986"/>
        </w:tabs>
        <w:spacing w:before="156" w:beforeLines="50" w:line="360" w:lineRule="auto"/>
        <w:ind w:firstLine="482" w:firstLineChars="200"/>
        <w:jc w:val="left"/>
        <w:rPr>
          <w:rFonts w:asciiTheme="minorEastAsia" w:hAnsiTheme="minorEastAsia" w:eastAsiaTheme="minorEastAsia" w:cstheme="minorEastAsia"/>
          <w:color w:val="auto"/>
          <w:sz w:val="24"/>
          <w:szCs w:val="24"/>
          <w:lang w:eastAsia="zh-CN"/>
        </w:rPr>
      </w:pPr>
      <w:bookmarkStart w:id="5" w:name="bookmark55"/>
      <w:r>
        <w:rPr>
          <w:rFonts w:hint="eastAsia" w:asciiTheme="minorEastAsia" w:hAnsiTheme="minorEastAsia" w:eastAsiaTheme="minorEastAsia" w:cstheme="minorEastAsia"/>
          <w:b/>
          <w:bCs/>
          <w:color w:val="auto"/>
          <w:sz w:val="24"/>
          <w:szCs w:val="24"/>
        </w:rPr>
        <w:t>三</w:t>
      </w:r>
      <w:bookmarkEnd w:id="5"/>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rPr>
        <w:tab/>
      </w:r>
      <w:r>
        <w:rPr>
          <w:rFonts w:hint="eastAsia" w:asciiTheme="minorEastAsia" w:hAnsiTheme="minorEastAsia" w:eastAsiaTheme="minorEastAsia" w:cstheme="minorEastAsia"/>
          <w:b/>
          <w:bCs/>
          <w:color w:val="auto"/>
          <w:sz w:val="24"/>
          <w:szCs w:val="24"/>
        </w:rPr>
        <w:t>获取采购文件</w:t>
      </w:r>
      <w:r>
        <w:rPr>
          <w:rFonts w:hint="eastAsia" w:asciiTheme="minorEastAsia" w:hAnsiTheme="minorEastAsia" w:eastAsiaTheme="minorEastAsia" w:cstheme="minorEastAsia"/>
          <w:b/>
          <w:bCs/>
          <w:color w:val="auto"/>
          <w:sz w:val="24"/>
          <w:szCs w:val="24"/>
          <w:lang w:eastAsia="zh-CN"/>
        </w:rPr>
        <w:t>：</w:t>
      </w:r>
    </w:p>
    <w:p>
      <w:pPr>
        <w:pStyle w:val="19"/>
        <w:spacing w:before="156" w:beforeLines="50" w:line="360" w:lineRule="auto"/>
        <w:ind w:left="440" w:firstLine="54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18</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30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,每天上午</w:t>
      </w:r>
      <w:r>
        <w:rPr>
          <w:rFonts w:hint="eastAsia" w:asciiTheme="minorEastAsia" w:hAnsiTheme="minorEastAsia" w:eastAsiaTheme="minorEastAsia" w:cstheme="minorEastAsia"/>
          <w:color w:val="auto"/>
          <w:sz w:val="24"/>
          <w:szCs w:val="24"/>
          <w:u w:val="single"/>
          <w:lang w:val="en-US" w:eastAsia="zh-CN"/>
        </w:rPr>
        <w:t xml:space="preserve"> 9:00  </w:t>
      </w:r>
      <w:r>
        <w:rPr>
          <w:rFonts w:hint="eastAsia" w:asciiTheme="minorEastAsia" w:hAnsiTheme="minorEastAsia" w:eastAsiaTheme="minorEastAsia" w:cstheme="minorEastAsia"/>
          <w:color w:val="auto"/>
          <w:sz w:val="24"/>
          <w:szCs w:val="24"/>
        </w:rPr>
        <w:t>至下午</w:t>
      </w:r>
      <w:r>
        <w:rPr>
          <w:rFonts w:hint="eastAsia" w:asciiTheme="minorEastAsia" w:hAnsiTheme="minorEastAsia" w:eastAsiaTheme="minorEastAsia" w:cstheme="minorEastAsia"/>
          <w:color w:val="auto"/>
          <w:sz w:val="24"/>
          <w:szCs w:val="24"/>
          <w:u w:val="single"/>
          <w:lang w:val="en-US" w:eastAsia="zh-CN"/>
        </w:rPr>
        <w:t xml:space="preserve"> 17:00  </w:t>
      </w:r>
      <w:r>
        <w:rPr>
          <w:rFonts w:hint="eastAsia" w:asciiTheme="minorEastAsia" w:hAnsiTheme="minorEastAsia" w:eastAsiaTheme="minorEastAsia" w:cstheme="minorEastAsia"/>
          <w:color w:val="auto"/>
          <w:sz w:val="24"/>
          <w:szCs w:val="24"/>
        </w:rPr>
        <w:t>至 （北京</w:t>
      </w:r>
      <w:r>
        <w:rPr>
          <w:rFonts w:hint="eastAsia" w:asciiTheme="minorEastAsia" w:hAnsiTheme="minorEastAsia" w:eastAsiaTheme="minorEastAsia" w:cstheme="minorEastAsia"/>
          <w:color w:val="auto"/>
          <w:sz w:val="24"/>
          <w:szCs w:val="24"/>
          <w:lang w:val="en-US" w:eastAsia="zh-CN"/>
        </w:rPr>
        <w:t>时间</w:t>
      </w:r>
      <w:r>
        <w:rPr>
          <w:rFonts w:hint="eastAsia" w:asciiTheme="minorEastAsia" w:hAnsiTheme="minorEastAsia" w:eastAsiaTheme="minorEastAsia" w:cstheme="minorEastAsia"/>
          <w:color w:val="auto"/>
          <w:sz w:val="24"/>
          <w:szCs w:val="24"/>
        </w:rPr>
        <w:t>，法定节假日除外）</w:t>
      </w:r>
    </w:p>
    <w:p>
      <w:pPr>
        <w:pStyle w:val="19"/>
        <w:spacing w:before="156" w:beforeLines="50" w:line="360" w:lineRule="auto"/>
        <w:ind w:firstLine="960"/>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val="en-US" w:eastAsia="zh-CN"/>
        </w:rPr>
        <w:t>常州市天宁区弘智路7号B座3楼</w:t>
      </w:r>
    </w:p>
    <w:p>
      <w:pPr>
        <w:pStyle w:val="12"/>
        <w:widowControl/>
        <w:spacing w:before="156" w:beforeLines="50" w:beforeAutospacing="0" w:afterAutospacing="0" w:line="360" w:lineRule="auto"/>
        <w:ind w:firstLine="960" w:firstLineChars="40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rPr>
        <w:t>获取方式：现场获取</w:t>
      </w:r>
      <w:r>
        <w:rPr>
          <w:rFonts w:hint="eastAsia" w:asciiTheme="minorEastAsia" w:hAnsiTheme="minorEastAsia" w:eastAsiaTheme="minorEastAsia" w:cstheme="minorEastAsia"/>
          <w:color w:val="auto"/>
        </w:rPr>
        <w:t>。</w:t>
      </w:r>
    </w:p>
    <w:p>
      <w:pPr>
        <w:pStyle w:val="12"/>
        <w:widowControl/>
        <w:spacing w:before="156" w:beforeLines="50" w:beforeAutospacing="0" w:afterAutospacing="0" w:line="360" w:lineRule="auto"/>
        <w:ind w:firstLine="964" w:firstLineChars="40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报名时须提供以下资料：</w:t>
      </w:r>
    </w:p>
    <w:p>
      <w:pPr>
        <w:pStyle w:val="12"/>
        <w:widowControl/>
        <w:spacing w:before="156" w:beforeLines="50" w:beforeAutospacing="0" w:afterAutospacing="0" w:line="360" w:lineRule="auto"/>
        <w:ind w:left="840" w:leftChars="4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（1）《竞争性磋商文件领取表》一份，格式见附件；</w:t>
      </w:r>
    </w:p>
    <w:p>
      <w:pPr>
        <w:pStyle w:val="12"/>
        <w:widowControl/>
        <w:spacing w:before="156" w:beforeLines="50" w:beforeAutospacing="0" w:afterAutospacing="0" w:line="360" w:lineRule="auto"/>
        <w:ind w:left="840" w:leftChars="4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 营业执照副本（复印件加盖供应商单位公章）；代理机构审核无误后发送竞争性磋商文件。</w:t>
      </w:r>
    </w:p>
    <w:p>
      <w:pPr>
        <w:pStyle w:val="12"/>
        <w:widowControl/>
        <w:spacing w:before="156" w:beforeLines="50" w:beforeAutospacing="0" w:afterAutospacing="0" w:line="360" w:lineRule="auto"/>
        <w:ind w:firstLine="960" w:firstLineChars="40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rPr>
        <w:t>售价：</w:t>
      </w:r>
      <w:r>
        <w:rPr>
          <w:rFonts w:hint="eastAsia" w:asciiTheme="minorEastAsia" w:hAnsiTheme="minorEastAsia" w:eastAsiaTheme="minorEastAsia" w:cstheme="minorEastAsia"/>
          <w:color w:val="auto"/>
          <w:shd w:val="clear" w:color="auto" w:fill="FFFFFF"/>
        </w:rPr>
        <w:t>人民币伍佰元整（现金、支付宝缴纳或汇至保证金账户），</w:t>
      </w:r>
      <w:r>
        <w:rPr>
          <w:rFonts w:hint="eastAsia" w:asciiTheme="minorEastAsia" w:hAnsiTheme="minorEastAsia" w:eastAsiaTheme="minorEastAsia" w:cstheme="minorEastAsia"/>
          <w:color w:val="auto"/>
        </w:rPr>
        <w:t>竞争性磋商</w:t>
      </w:r>
      <w:r>
        <w:rPr>
          <w:rFonts w:hint="eastAsia" w:asciiTheme="minorEastAsia" w:hAnsiTheme="minorEastAsia" w:eastAsiaTheme="minorEastAsia" w:cstheme="minorEastAsia"/>
          <w:color w:val="auto"/>
          <w:shd w:val="clear" w:color="auto" w:fill="FFFFFF"/>
        </w:rPr>
        <w:t>文件售后一概不退。</w:t>
      </w:r>
    </w:p>
    <w:p>
      <w:pPr>
        <w:widowControl/>
        <w:spacing w:before="156" w:beforeLines="50" w:line="360" w:lineRule="auto"/>
        <w:ind w:firstLine="960" w:firstLineChars="400"/>
        <w:jc w:val="left"/>
        <w:rPr>
          <w:rFonts w:asciiTheme="minorEastAsia" w:hAnsiTheme="minorEastAsia" w:eastAsiaTheme="minorEastAsia" w:cstheme="minorEastAsia"/>
          <w:color w:val="auto"/>
          <w:kern w:val="0"/>
          <w:sz w:val="24"/>
          <w:lang w:bidi="ar"/>
        </w:rPr>
      </w:pPr>
      <w:r>
        <w:rPr>
          <w:rFonts w:hint="eastAsia" w:asciiTheme="minorEastAsia" w:hAnsiTheme="minorEastAsia" w:eastAsiaTheme="minorEastAsia" w:cstheme="minorEastAsia"/>
          <w:color w:val="auto"/>
          <w:kern w:val="0"/>
          <w:sz w:val="24"/>
          <w:lang w:bidi="ar"/>
        </w:rPr>
        <w:t>收款人名称：江苏畅誉项目管理有限公司</w:t>
      </w:r>
    </w:p>
    <w:p>
      <w:pPr>
        <w:widowControl/>
        <w:spacing w:before="156" w:beforeLines="50" w:line="360" w:lineRule="auto"/>
        <w:ind w:firstLine="960" w:firstLineChars="4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开户行名称：</w:t>
      </w:r>
      <w:r>
        <w:rPr>
          <w:rFonts w:hint="eastAsia" w:asciiTheme="minorEastAsia" w:hAnsiTheme="minorEastAsia" w:eastAsiaTheme="minorEastAsia" w:cstheme="minorEastAsia"/>
          <w:color w:val="auto"/>
          <w:sz w:val="24"/>
          <w:shd w:val="clear" w:color="auto" w:fill="FFFFFF"/>
        </w:rPr>
        <w:t>江苏江南农村商业银行股份有限公司常州市东青支行</w:t>
      </w:r>
    </w:p>
    <w:p>
      <w:pPr>
        <w:pStyle w:val="12"/>
        <w:widowControl/>
        <w:spacing w:before="156" w:beforeLines="50" w:beforeAutospacing="0" w:afterAutospacing="0" w:line="360" w:lineRule="auto"/>
        <w:ind w:firstLine="960" w:firstLineChars="40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lang w:bidi="ar"/>
        </w:rPr>
        <w:t>银行账号：</w:t>
      </w:r>
      <w:r>
        <w:rPr>
          <w:rFonts w:hint="eastAsia" w:asciiTheme="minorEastAsia" w:hAnsiTheme="minorEastAsia" w:eastAsiaTheme="minorEastAsia" w:cstheme="minorEastAsia"/>
          <w:color w:val="auto"/>
          <w:shd w:val="clear" w:color="auto" w:fill="FFFFFF"/>
        </w:rPr>
        <w:t>1079400000009982</w:t>
      </w:r>
    </w:p>
    <w:p>
      <w:pPr>
        <w:pStyle w:val="19"/>
        <w:tabs>
          <w:tab w:val="left" w:pos="986"/>
        </w:tabs>
        <w:spacing w:before="156" w:beforeLines="50" w:line="360" w:lineRule="auto"/>
        <w:ind w:firstLine="440"/>
        <w:jc w:val="left"/>
        <w:rPr>
          <w:rFonts w:asciiTheme="minorEastAsia" w:hAnsiTheme="minorEastAsia" w:eastAsiaTheme="minorEastAsia" w:cstheme="minorEastAsia"/>
          <w:b/>
          <w:bCs/>
          <w:color w:val="auto"/>
          <w:sz w:val="24"/>
          <w:szCs w:val="24"/>
        </w:rPr>
      </w:pPr>
      <w:bookmarkStart w:id="6" w:name="bookmark56"/>
      <w:r>
        <w:rPr>
          <w:rFonts w:hint="eastAsia" w:asciiTheme="minorEastAsia" w:hAnsiTheme="minorEastAsia" w:eastAsiaTheme="minorEastAsia" w:cstheme="minorEastAsia"/>
          <w:b/>
          <w:bCs/>
          <w:color w:val="auto"/>
          <w:sz w:val="24"/>
          <w:szCs w:val="24"/>
        </w:rPr>
        <w:t>四</w:t>
      </w:r>
      <w:bookmarkEnd w:id="6"/>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rPr>
        <w:tab/>
      </w:r>
      <w:r>
        <w:rPr>
          <w:rFonts w:hint="eastAsia" w:asciiTheme="minorEastAsia" w:hAnsiTheme="minorEastAsia" w:eastAsiaTheme="minorEastAsia" w:cstheme="minorEastAsia"/>
          <w:b/>
          <w:bCs/>
          <w:color w:val="auto"/>
          <w:sz w:val="24"/>
          <w:szCs w:val="24"/>
        </w:rPr>
        <w:t>响应文件提交</w:t>
      </w:r>
    </w:p>
    <w:p>
      <w:pPr>
        <w:pStyle w:val="19"/>
        <w:spacing w:before="156" w:beforeLines="50" w:line="360" w:lineRule="auto"/>
        <w:ind w:left="440" w:firstLine="540"/>
        <w:jc w:val="left"/>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lang w:val="zh-CN" w:eastAsia="zh-CN" w:bidi="zh-CN"/>
        </w:rPr>
        <w:t>月</w:t>
      </w:r>
      <w:r>
        <w:rPr>
          <w:rFonts w:hint="eastAsia" w:asciiTheme="minorEastAsia" w:hAnsiTheme="minorEastAsia" w:eastAsiaTheme="minorEastAsia" w:cstheme="minorEastAsia"/>
          <w:color w:val="auto"/>
          <w:sz w:val="24"/>
          <w:szCs w:val="24"/>
          <w:u w:val="single"/>
          <w:lang w:val="en-US" w:eastAsia="zh-CN" w:bidi="zh-CN"/>
        </w:rPr>
        <w:t>31日15</w:t>
      </w:r>
      <w:r>
        <w:rPr>
          <w:rFonts w:hint="eastAsia" w:asciiTheme="minorEastAsia" w:hAnsiTheme="minorEastAsia" w:eastAsiaTheme="minorEastAsia" w:cstheme="minorEastAsia"/>
          <w:color w:val="auto"/>
          <w:sz w:val="24"/>
          <w:szCs w:val="24"/>
          <w:u w:val="single"/>
        </w:rPr>
        <w:t xml:space="preserve">点 </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color w:val="auto"/>
          <w:sz w:val="24"/>
          <w:szCs w:val="24"/>
        </w:rPr>
        <w:t>（北京时间）</w:t>
      </w:r>
    </w:p>
    <w:p>
      <w:pPr>
        <w:pStyle w:val="19"/>
        <w:spacing w:before="156" w:beforeLines="50" w:line="360" w:lineRule="auto"/>
        <w:ind w:firstLine="96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val="en-US" w:eastAsia="zh-CN"/>
        </w:rPr>
        <w:t>江苏畅誉项目管理有限公司开标室</w:t>
      </w:r>
    </w:p>
    <w:p>
      <w:pPr>
        <w:pStyle w:val="19"/>
        <w:spacing w:before="156" w:beforeLines="50" w:line="360" w:lineRule="auto"/>
        <w:ind w:firstLine="5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 xml:space="preserve"> 开启</w:t>
      </w:r>
    </w:p>
    <w:p>
      <w:pPr>
        <w:pStyle w:val="19"/>
        <w:spacing w:before="156" w:beforeLines="50" w:line="360" w:lineRule="auto"/>
        <w:ind w:left="1040" w:firstLine="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w:t>
      </w:r>
      <w:r>
        <w:rPr>
          <w:rFonts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rPr>
        <w:t>年</w:t>
      </w:r>
      <w:r>
        <w:rPr>
          <w:rFonts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lang w:val="zh-CN" w:eastAsia="zh-CN" w:bidi="zh-CN"/>
        </w:rPr>
        <w:t>月</w:t>
      </w:r>
      <w:r>
        <w:rPr>
          <w:rFonts w:hint="eastAsia" w:asciiTheme="minorEastAsia" w:hAnsiTheme="minorEastAsia" w:eastAsiaTheme="minorEastAsia" w:cstheme="minorEastAsia"/>
          <w:color w:val="auto"/>
          <w:sz w:val="24"/>
          <w:szCs w:val="24"/>
          <w:u w:val="single"/>
          <w:lang w:val="en-US" w:eastAsia="zh-CN" w:bidi="zh-CN"/>
        </w:rPr>
        <w:t>31日15</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北京时间）</w:t>
      </w:r>
    </w:p>
    <w:p>
      <w:pPr>
        <w:pStyle w:val="19"/>
        <w:spacing w:before="156" w:beforeLines="50" w:line="360" w:lineRule="auto"/>
        <w:ind w:firstLine="960"/>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val="en-US" w:eastAsia="zh-CN"/>
        </w:rPr>
        <w:t>江苏畅誉项目管理有限公司开标室</w:t>
      </w:r>
    </w:p>
    <w:p>
      <w:pPr>
        <w:pStyle w:val="19"/>
        <w:spacing w:before="156" w:beforeLines="50" w:line="360" w:lineRule="auto"/>
        <w:ind w:firstLine="960"/>
        <w:rPr>
          <w:rFonts w:asciiTheme="minorEastAsia" w:hAnsiTheme="minorEastAsia" w:eastAsiaTheme="minorEastAsia" w:cstheme="minorEastAsia"/>
          <w:color w:val="auto"/>
          <w:sz w:val="24"/>
          <w:szCs w:val="24"/>
          <w:lang w:val="en-US" w:eastAsia="zh-CN"/>
        </w:rPr>
      </w:pPr>
    </w:p>
    <w:p>
      <w:pPr>
        <w:pStyle w:val="19"/>
        <w:numPr>
          <w:ilvl w:val="0"/>
          <w:numId w:val="2"/>
        </w:numPr>
        <w:spacing w:before="156" w:beforeLines="50" w:line="360" w:lineRule="auto"/>
        <w:ind w:firstLine="5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公告期限</w:t>
      </w:r>
    </w:p>
    <w:p>
      <w:pPr>
        <w:pStyle w:val="19"/>
        <w:spacing w:before="156" w:beforeLines="50" w:line="360" w:lineRule="auto"/>
        <w:ind w:left="1040" w:firstLine="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w:t>
      </w:r>
      <w:r>
        <w:rPr>
          <w:rFonts w:hint="eastAsia" w:asciiTheme="minorEastAsia" w:hAnsiTheme="minorEastAsia" w:eastAsiaTheme="minorEastAsia" w:cstheme="minorEastAsia"/>
          <w:color w:val="auto"/>
          <w:sz w:val="24"/>
          <w:szCs w:val="24"/>
          <w:u w:val="single"/>
          <w:lang w:val="en-US" w:eastAsia="zh-CN"/>
        </w:rPr>
        <w:t xml:space="preserve"> 10 </w:t>
      </w:r>
      <w:r>
        <w:rPr>
          <w:rFonts w:hint="eastAsia" w:asciiTheme="minorEastAsia" w:hAnsiTheme="minorEastAsia" w:eastAsiaTheme="minorEastAsia" w:cstheme="minorEastAsia"/>
          <w:color w:val="auto"/>
          <w:sz w:val="24"/>
          <w:szCs w:val="24"/>
        </w:rPr>
        <w:t>个工作日。</w:t>
      </w:r>
    </w:p>
    <w:p>
      <w:pPr>
        <w:widowControl/>
        <w:numPr>
          <w:ilvl w:val="0"/>
          <w:numId w:val="2"/>
        </w:numPr>
        <w:spacing w:before="156" w:beforeLines="50" w:line="360" w:lineRule="auto"/>
        <w:ind w:firstLine="5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其他补充事宜</w:t>
      </w:r>
      <w:r>
        <w:rPr>
          <w:rFonts w:hint="eastAsia" w:asciiTheme="minorEastAsia" w:hAnsiTheme="minorEastAsia" w:eastAsiaTheme="minorEastAsia" w:cstheme="minorEastAsia"/>
          <w:color w:val="auto"/>
          <w:sz w:val="24"/>
        </w:rPr>
        <w:t xml:space="preserve"> ： </w:t>
      </w:r>
    </w:p>
    <w:p>
      <w:pPr>
        <w:pStyle w:val="19"/>
        <w:spacing w:before="156" w:beforeLines="50" w:line="360" w:lineRule="auto"/>
        <w:ind w:firstLine="480" w:firstLineChars="200"/>
        <w:jc w:val="left"/>
        <w:rPr>
          <w:rFonts w:asciiTheme="minorEastAsia" w:hAnsiTheme="minorEastAsia" w:eastAsiaTheme="minorEastAsia" w:cstheme="minorEastAsia"/>
          <w:color w:val="auto"/>
          <w:sz w:val="24"/>
          <w:szCs w:val="24"/>
        </w:rPr>
      </w:pPr>
      <w:bookmarkStart w:id="7" w:name="bookmark57"/>
      <w:r>
        <w:rPr>
          <w:rFonts w:hint="eastAsia" w:asciiTheme="minorEastAsia" w:hAnsiTheme="minorEastAsia" w:eastAsiaTheme="minorEastAsia" w:cstheme="minorEastAsia"/>
          <w:color w:val="auto"/>
          <w:sz w:val="24"/>
          <w:szCs w:val="24"/>
        </w:rPr>
        <w:t>八</w:t>
      </w:r>
      <w:bookmarkEnd w:id="7"/>
      <w:r>
        <w:rPr>
          <w:rFonts w:hint="eastAsia" w:asciiTheme="minorEastAsia" w:hAnsiTheme="minorEastAsia" w:eastAsiaTheme="minorEastAsia" w:cstheme="minorEastAsia"/>
          <w:color w:val="auto"/>
          <w:sz w:val="24"/>
          <w:szCs w:val="24"/>
        </w:rPr>
        <w:t>、凡对本次采购提出询问，请按以下方式联系。</w:t>
      </w:r>
    </w:p>
    <w:p>
      <w:pPr>
        <w:pStyle w:val="19"/>
        <w:numPr>
          <w:ilvl w:val="0"/>
          <w:numId w:val="3"/>
        </w:numPr>
        <w:tabs>
          <w:tab w:val="left" w:pos="1574"/>
        </w:tabs>
        <w:spacing w:before="156" w:beforeLines="50" w:line="360" w:lineRule="auto"/>
        <w:ind w:left="1220" w:firstLine="0"/>
        <w:jc w:val="left"/>
        <w:rPr>
          <w:rFonts w:asciiTheme="minorEastAsia" w:hAnsiTheme="minorEastAsia" w:eastAsiaTheme="minorEastAsia" w:cstheme="minorEastAsia"/>
          <w:color w:val="auto"/>
          <w:sz w:val="24"/>
          <w:szCs w:val="24"/>
        </w:rPr>
      </w:pPr>
      <w:bookmarkStart w:id="8" w:name="bookmark58"/>
      <w:bookmarkEnd w:id="8"/>
      <w:r>
        <w:rPr>
          <w:rFonts w:hint="eastAsia" w:asciiTheme="minorEastAsia" w:hAnsiTheme="minorEastAsia" w:eastAsiaTheme="minorEastAsia" w:cstheme="minorEastAsia"/>
          <w:color w:val="auto"/>
          <w:sz w:val="24"/>
          <w:szCs w:val="24"/>
        </w:rPr>
        <w:t>釆购人信息</w:t>
      </w:r>
      <w:r>
        <w:rPr>
          <w:rFonts w:hint="eastAsia" w:asciiTheme="minorEastAsia" w:hAnsiTheme="minorEastAsia" w:eastAsiaTheme="minorEastAsia" w:cstheme="minorEastAsia"/>
          <w:color w:val="auto"/>
          <w:sz w:val="24"/>
          <w:szCs w:val="24"/>
          <w:lang w:eastAsia="zh-CN"/>
        </w:rPr>
        <w:t>：</w:t>
      </w:r>
    </w:p>
    <w:p>
      <w:pPr>
        <w:pStyle w:val="19"/>
        <w:tabs>
          <w:tab w:val="left" w:pos="5722"/>
        </w:tabs>
        <w:spacing w:before="156" w:beforeLines="50" w:line="360" w:lineRule="auto"/>
        <w:ind w:left="1220" w:firstLine="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z w:val="24"/>
          <w:szCs w:val="24"/>
          <w:lang w:val="en-US" w:eastAsia="zh-CN"/>
        </w:rPr>
        <w:t>常州市天宁区青龙街道社区服务中心社区服务中心</w:t>
      </w:r>
    </w:p>
    <w:p>
      <w:pPr>
        <w:pStyle w:val="19"/>
        <w:tabs>
          <w:tab w:val="left" w:pos="5722"/>
        </w:tabs>
        <w:spacing w:before="156" w:beforeLines="50" w:line="360" w:lineRule="auto"/>
        <w:ind w:left="1220" w:firstLine="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常州市天宁区河海东路9号</w:t>
      </w:r>
    </w:p>
    <w:p>
      <w:pPr>
        <w:pStyle w:val="12"/>
        <w:widowControl/>
        <w:spacing w:before="156" w:beforeLines="50" w:beforeAutospacing="0" w:afterAutospacing="0" w:line="360" w:lineRule="auto"/>
        <w:ind w:firstLine="1200" w:firstLineChars="50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rPr>
        <w:t>联系方式：</w:t>
      </w:r>
      <w:r>
        <w:rPr>
          <w:rFonts w:hint="eastAsia" w:asciiTheme="minorEastAsia" w:hAnsiTheme="minorEastAsia" w:eastAsiaTheme="minorEastAsia" w:cstheme="minorEastAsia"/>
          <w:color w:val="auto"/>
          <w:shd w:val="clear" w:color="auto" w:fill="FFFFFF"/>
        </w:rPr>
        <w:t>0519-85508920</w:t>
      </w:r>
    </w:p>
    <w:p>
      <w:pPr>
        <w:pStyle w:val="19"/>
        <w:tabs>
          <w:tab w:val="left" w:pos="5732"/>
        </w:tabs>
        <w:spacing w:before="156" w:beforeLines="50" w:line="360" w:lineRule="auto"/>
        <w:ind w:left="1220" w:firstLine="0"/>
        <w:jc w:val="left"/>
        <w:rPr>
          <w:rFonts w:asciiTheme="minorEastAsia" w:hAnsiTheme="minorEastAsia" w:eastAsiaTheme="minorEastAsia" w:cstheme="minorEastAsia"/>
          <w:color w:val="auto"/>
          <w:sz w:val="24"/>
          <w:szCs w:val="24"/>
        </w:rPr>
      </w:pPr>
    </w:p>
    <w:p>
      <w:pPr>
        <w:pStyle w:val="19"/>
        <w:numPr>
          <w:ilvl w:val="0"/>
          <w:numId w:val="3"/>
        </w:numPr>
        <w:tabs>
          <w:tab w:val="left" w:pos="1593"/>
        </w:tabs>
        <w:spacing w:before="156" w:beforeLines="50" w:line="360" w:lineRule="auto"/>
        <w:ind w:left="1220" w:firstLine="0"/>
        <w:jc w:val="left"/>
        <w:rPr>
          <w:rFonts w:asciiTheme="minorEastAsia" w:hAnsiTheme="minorEastAsia" w:eastAsiaTheme="minorEastAsia" w:cstheme="minorEastAsia"/>
          <w:color w:val="auto"/>
          <w:sz w:val="24"/>
          <w:szCs w:val="24"/>
        </w:rPr>
      </w:pPr>
      <w:bookmarkStart w:id="9" w:name="bookmark59"/>
      <w:bookmarkEnd w:id="9"/>
      <w:r>
        <w:rPr>
          <w:rFonts w:hint="eastAsia" w:asciiTheme="minorEastAsia" w:hAnsiTheme="minorEastAsia" w:eastAsiaTheme="minorEastAsia" w:cstheme="minorEastAsia"/>
          <w:color w:val="auto"/>
          <w:sz w:val="24"/>
          <w:szCs w:val="24"/>
        </w:rPr>
        <w:t>釆购代理机构信息</w:t>
      </w:r>
      <w:r>
        <w:rPr>
          <w:rFonts w:hint="eastAsia" w:asciiTheme="minorEastAsia" w:hAnsiTheme="minorEastAsia" w:eastAsiaTheme="minorEastAsia" w:cstheme="minorEastAsia"/>
          <w:color w:val="auto"/>
          <w:sz w:val="24"/>
          <w:szCs w:val="24"/>
          <w:lang w:eastAsia="zh-CN"/>
        </w:rPr>
        <w:t>：</w:t>
      </w:r>
    </w:p>
    <w:p>
      <w:pPr>
        <w:pStyle w:val="19"/>
        <w:tabs>
          <w:tab w:val="left" w:pos="5703"/>
        </w:tabs>
        <w:spacing w:before="156" w:beforeLines="50" w:line="360" w:lineRule="auto"/>
        <w:ind w:left="1220" w:firstLine="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z w:val="24"/>
          <w:szCs w:val="24"/>
          <w:lang w:val="en-US" w:eastAsia="zh-CN"/>
        </w:rPr>
        <w:t>江苏畅誉项目管理有限公司</w:t>
      </w:r>
    </w:p>
    <w:p>
      <w:pPr>
        <w:pStyle w:val="19"/>
        <w:tabs>
          <w:tab w:val="left" w:pos="5732"/>
        </w:tabs>
        <w:spacing w:before="156" w:beforeLines="50" w:line="360" w:lineRule="auto"/>
        <w:ind w:left="1220" w:firstLine="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常州市天宁区弘智路7号B座3楼</w:t>
      </w:r>
    </w:p>
    <w:p>
      <w:pPr>
        <w:pStyle w:val="19"/>
        <w:tabs>
          <w:tab w:val="left" w:pos="5732"/>
        </w:tabs>
        <w:spacing w:before="156" w:beforeLines="50" w:line="360" w:lineRule="auto"/>
        <w:ind w:left="1220" w:firstLine="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13951203728</w:t>
      </w:r>
    </w:p>
    <w:p>
      <w:pPr>
        <w:pStyle w:val="19"/>
        <w:tabs>
          <w:tab w:val="left" w:pos="5732"/>
        </w:tabs>
        <w:spacing w:before="156" w:beforeLines="50" w:line="360" w:lineRule="auto"/>
        <w:ind w:left="1220" w:firstLine="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pPr>
        <w:widowControl/>
        <w:shd w:val="clear" w:color="auto" w:fill="FFFFFF"/>
        <w:spacing w:before="156" w:beforeLines="50" w:line="360" w:lineRule="auto"/>
        <w:rPr>
          <w:rFonts w:asciiTheme="minorEastAsia" w:hAnsiTheme="minorEastAsia" w:eastAsiaTheme="minorEastAsia" w:cstheme="minorEastAsia"/>
          <w:b/>
          <w:bCs/>
          <w:color w:val="auto"/>
          <w:kern w:val="0"/>
          <w:sz w:val="24"/>
        </w:rPr>
      </w:pPr>
      <w:bookmarkStart w:id="10" w:name="bookmark60"/>
      <w:bookmarkEnd w:id="10"/>
    </w:p>
    <w:p>
      <w:pPr>
        <w:pStyle w:val="13"/>
        <w:rPr>
          <w:rFonts w:asciiTheme="minorEastAsia" w:hAnsiTheme="minorEastAsia" w:eastAsiaTheme="minorEastAsia" w:cstheme="minorEastAsia"/>
          <w:b/>
          <w:bCs/>
          <w:color w:val="auto"/>
          <w:sz w:val="24"/>
        </w:rPr>
      </w:pPr>
    </w:p>
    <w:p>
      <w:pPr>
        <w:pStyle w:val="13"/>
        <w:rPr>
          <w:rFonts w:asciiTheme="minorEastAsia" w:hAnsiTheme="minorEastAsia" w:eastAsiaTheme="minorEastAsia" w:cstheme="minorEastAsia"/>
          <w:b/>
          <w:bCs/>
          <w:color w:val="auto"/>
          <w:sz w:val="24"/>
        </w:rPr>
      </w:pPr>
    </w:p>
    <w:p>
      <w:pPr>
        <w:pStyle w:val="13"/>
        <w:rPr>
          <w:rFonts w:asciiTheme="minorEastAsia" w:hAnsiTheme="minorEastAsia" w:eastAsiaTheme="minorEastAsia" w:cstheme="minorEastAsia"/>
          <w:b/>
          <w:bCs/>
          <w:color w:val="auto"/>
          <w:sz w:val="24"/>
        </w:rPr>
      </w:pPr>
    </w:p>
    <w:p>
      <w:pPr>
        <w:widowControl/>
        <w:shd w:val="clear" w:color="auto" w:fill="FFFFFF"/>
        <w:spacing w:before="156" w:beforeLines="50" w:line="360" w:lineRule="auto"/>
        <w:jc w:val="center"/>
        <w:rPr>
          <w:rFonts w:hint="eastAsia" w:asciiTheme="minorEastAsia" w:hAnsiTheme="minorEastAsia" w:eastAsiaTheme="minorEastAsia" w:cstheme="minorEastAsia"/>
          <w:b/>
          <w:bCs/>
          <w:color w:val="auto"/>
          <w:kern w:val="0"/>
          <w:sz w:val="24"/>
        </w:rPr>
      </w:pPr>
    </w:p>
    <w:p>
      <w:pPr>
        <w:widowControl/>
        <w:shd w:val="clear" w:color="auto" w:fill="FFFFFF"/>
        <w:spacing w:before="156" w:beforeLines="50" w:line="360" w:lineRule="auto"/>
        <w:jc w:val="center"/>
        <w:rPr>
          <w:rFonts w:hint="eastAsia" w:asciiTheme="minorEastAsia" w:hAnsiTheme="minorEastAsia" w:eastAsiaTheme="minorEastAsia" w:cstheme="minorEastAsia"/>
          <w:b/>
          <w:bCs/>
          <w:color w:val="auto"/>
          <w:kern w:val="0"/>
          <w:sz w:val="24"/>
        </w:rPr>
      </w:pPr>
      <w:bookmarkStart w:id="108" w:name="_GoBack"/>
      <w:bookmarkEnd w:id="108"/>
    </w:p>
    <w:p>
      <w:pPr>
        <w:widowControl/>
        <w:shd w:val="clear" w:color="auto" w:fill="FFFFFF"/>
        <w:spacing w:before="156" w:beforeLines="50" w:line="360" w:lineRule="auto"/>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24"/>
        </w:rPr>
        <w:t>磋商文件领取申请表</w:t>
      </w:r>
    </w:p>
    <w:p>
      <w:pPr>
        <w:pStyle w:val="19"/>
        <w:spacing w:before="156" w:beforeLines="50" w:line="360" w:lineRule="auto"/>
        <w:ind w:firstLine="0"/>
        <w:jc w:val="left"/>
        <w:rPr>
          <w:rFonts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kern w:val="0"/>
          <w:sz w:val="24"/>
        </w:rPr>
        <w:t>项目名称：</w:t>
      </w:r>
      <w:r>
        <w:rPr>
          <w:rFonts w:hint="eastAsia" w:asciiTheme="minorEastAsia" w:hAnsiTheme="minorEastAsia" w:eastAsiaTheme="minorEastAsia" w:cstheme="minorEastAsia"/>
          <w:b/>
          <w:bCs/>
          <w:color w:val="auto"/>
          <w:sz w:val="24"/>
          <w:szCs w:val="24"/>
          <w:lang w:val="en-US" w:eastAsia="zh-CN"/>
        </w:rPr>
        <w:t>北塘河绿地彩虹城体育公园北侧河边栈道改造项目</w:t>
      </w:r>
    </w:p>
    <w:p>
      <w:pPr>
        <w:widowControl/>
        <w:shd w:val="clear" w:color="auto" w:fill="FFFFFF"/>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shd w:val="clear" w:color="auto" w:fill="FFFFFF"/>
        </w:rPr>
        <w:t>项目编号：</w:t>
      </w:r>
      <w:r>
        <w:rPr>
          <w:rFonts w:hint="eastAsia" w:ascii="黑体" w:eastAsia="黑体"/>
          <w:color w:val="auto"/>
          <w:sz w:val="24"/>
          <w:szCs w:val="16"/>
          <w:lang w:val="en-US" w:eastAsia="zh-CN"/>
        </w:rPr>
        <w:t>JSCY竞采磋2021-003号</w:t>
      </w:r>
    </w:p>
    <w:tbl>
      <w:tblPr>
        <w:tblStyle w:val="14"/>
        <w:tblW w:w="8336" w:type="dxa"/>
        <w:jc w:val="center"/>
        <w:tblInd w:w="0" w:type="dxa"/>
        <w:tblLayout w:type="fixed"/>
        <w:tblCellMar>
          <w:top w:w="15" w:type="dxa"/>
          <w:left w:w="15" w:type="dxa"/>
          <w:bottom w:w="15" w:type="dxa"/>
          <w:right w:w="15" w:type="dxa"/>
        </w:tblCellMar>
      </w:tblPr>
      <w:tblGrid>
        <w:gridCol w:w="8336"/>
      </w:tblGrid>
      <w:tr>
        <w:tblPrEx>
          <w:tblLayout w:type="fixed"/>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供应商全称：</w:t>
            </w:r>
          </w:p>
        </w:tc>
      </w:tr>
      <w:tr>
        <w:tblPrEx>
          <w:tblLayout w:type="fixed"/>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ind w:firstLine="482"/>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现委托</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被授权人的姓名）参与江苏畅誉项目管理有限公司该项目的磋商工作。项目磋商过程中答疑补充等相关文件都须供应商在相关网站上下载，本单位会及时关注相关网站，以防遗漏，并承诺不以此为理由提出质疑。</w:t>
            </w:r>
          </w:p>
          <w:p>
            <w:pPr>
              <w:widowControl/>
              <w:spacing w:before="156" w:beforeLines="50" w:line="360" w:lineRule="auto"/>
              <w:ind w:firstLine="482"/>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供应商（公章）：</w:t>
            </w:r>
          </w:p>
          <w:p>
            <w:pPr>
              <w:widowControl/>
              <w:spacing w:before="156" w:beforeLines="50" w:line="360" w:lineRule="auto"/>
              <w:ind w:firstLine="482"/>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法人代表人（签字或盖章）：</w:t>
            </w:r>
          </w:p>
        </w:tc>
      </w:tr>
      <w:tr>
        <w:tblPrEx>
          <w:tblLayout w:type="fixed"/>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被授权人姓名：             联系电话：</w:t>
            </w:r>
          </w:p>
        </w:tc>
      </w:tr>
      <w:tr>
        <w:tblPrEx>
          <w:tblLayout w:type="fixed"/>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第二代身份证号码：</w:t>
            </w:r>
          </w:p>
        </w:tc>
      </w:tr>
      <w:tr>
        <w:tblPrEx>
          <w:tblLayout w:type="fixed"/>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接收磋商文件指定电子邮箱：</w:t>
            </w:r>
          </w:p>
        </w:tc>
      </w:tr>
      <w:tr>
        <w:tblPrEx>
          <w:tblLayout w:type="fixed"/>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24"/>
              </w:rPr>
              <w:t>注：本表以上内容填写均需打印，以下内容需由被授权人本人在代理机构领取磋商文件时现场填写。</w:t>
            </w:r>
            <w:r>
              <w:rPr>
                <w:rFonts w:hint="eastAsia" w:asciiTheme="minorEastAsia" w:hAnsiTheme="minorEastAsia" w:eastAsiaTheme="minorEastAsia" w:cstheme="minorEastAsia"/>
                <w:color w:val="auto"/>
                <w:kern w:val="0"/>
                <w:sz w:val="24"/>
              </w:rPr>
              <w:t xml:space="preserve"> </w:t>
            </w:r>
          </w:p>
        </w:tc>
      </w:tr>
      <w:tr>
        <w:tblPrEx>
          <w:tblLayout w:type="fixed"/>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领取时间：</w:t>
            </w:r>
          </w:p>
          <w:p>
            <w:pPr>
              <w:widowControl/>
              <w:spacing w:before="156" w:beforeLines="50" w:line="360" w:lineRule="auto"/>
              <w:jc w:val="righ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年     月      日      时      分</w:t>
            </w:r>
          </w:p>
        </w:tc>
      </w:tr>
      <w:tr>
        <w:tblPrEx>
          <w:tblLayout w:type="fixed"/>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被授权人签字：</w:t>
            </w:r>
          </w:p>
        </w:tc>
      </w:tr>
    </w:tbl>
    <w:p>
      <w:pPr>
        <w:widowControl/>
        <w:shd w:val="clear" w:color="auto" w:fill="FFFFFF"/>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24"/>
          <w:shd w:val="clear" w:color="auto" w:fill="FFFFFF"/>
        </w:rPr>
        <w:t>*注：供应商应完整填写表格，并对内容的真实性和有效性负全部责任。</w:t>
      </w:r>
      <w:r>
        <w:rPr>
          <w:rFonts w:hint="eastAsia" w:asciiTheme="minorEastAsia" w:hAnsiTheme="minorEastAsia" w:eastAsiaTheme="minorEastAsia" w:cstheme="minorEastAsia"/>
          <w:color w:val="auto"/>
          <w:kern w:val="0"/>
          <w:sz w:val="24"/>
        </w:rPr>
        <w:t xml:space="preserve"> </w:t>
      </w:r>
    </w:p>
    <w:p>
      <w:pPr>
        <w:pStyle w:val="3"/>
        <w:numPr>
          <w:ilvl w:val="0"/>
          <w:numId w:val="0"/>
        </w:numPr>
        <w:snapToGrid w:val="0"/>
        <w:spacing w:before="156" w:beforeLines="50" w:line="360" w:lineRule="auto"/>
        <w:rPr>
          <w:rFonts w:asciiTheme="minorEastAsia" w:hAnsiTheme="minorEastAsia" w:eastAsiaTheme="minorEastAsia" w:cstheme="minorEastAsia"/>
          <w:color w:val="auto"/>
          <w:sz w:val="24"/>
          <w:szCs w:val="24"/>
        </w:rPr>
      </w:pPr>
      <w:bookmarkStart w:id="11" w:name="_Toc471818700"/>
      <w:r>
        <w:rPr>
          <w:rFonts w:hint="eastAsia" w:asciiTheme="minorEastAsia" w:hAnsiTheme="minorEastAsia" w:eastAsiaTheme="minorEastAsia" w:cstheme="minorEastAsia"/>
          <w:color w:val="auto"/>
          <w:sz w:val="24"/>
          <w:szCs w:val="24"/>
        </w:rPr>
        <w:t>第一章   总  则</w:t>
      </w:r>
      <w:bookmarkEnd w:id="11"/>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一、采购项目：</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详见公告</w:t>
      </w: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二、供应商的资格要求：</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详见公告。</w:t>
      </w: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三、磋商费用</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供应商应自行承担其编制、提交响应文件以及参加招竞争性磋商活动所产生之一切费用。无论竞争性磋商活动中的做法和结果如何(包括采购单位决定取消采购的)，采购人和代理机构对上述费用不负任何责任。</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四、磋商文件</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１、磋商文件的组成 </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本文件及依法对本文件所作的书面更正内容均为磋商文件的组成部分。</w:t>
      </w: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磋商文件中采购需求部分（第七章、第八章以及供应商资格要求）由采购人负责制定，对该部分内容有询问或者质疑（投诉）的，由供应商向采购人或代理机构书面提出（加盖供应商公章），由采购人或代理机构负责接收和回复。</w:t>
      </w:r>
    </w:p>
    <w:p>
      <w:pPr>
        <w:snapToGrid w:val="0"/>
        <w:spacing w:before="156"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五、供应商的义务</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1、供应商应当认真阅读磋商文件，完全明了采购项目之名称、用途、数量、质量和交货日期，完全明了供应商所应具备的资格条件。</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2、供应商应当按照磋商文件的要求编制响应文件。响应文件应对磋商文件提出的实质性要求和条件作出完全响应。</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3、供应商应在响应文件提交截止时间前，将密封的响应文件送达指定地点。</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4、供应商不得相互串通磋商报价，不得排挤其他供应商的公平竞争，损害采购人或者其他供应商合法权益。供应商不得与采购人串通，损害国家利益，公众利益或者他人的合法权益。</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5、供应商在响应文件提交截止时间前，对所提交的响应文件可以补充、修改或者撤回，并书面通知代理机构（加盖投标单位公章）。补充、修改的内容为响应文件的组成部分。</w:t>
      </w:r>
    </w:p>
    <w:p>
      <w:pPr>
        <w:spacing w:before="156" w:beforeLines="50" w:line="360" w:lineRule="auto"/>
        <w:ind w:firstLine="482" w:firstLineChars="200"/>
        <w:rPr>
          <w:rFonts w:asciiTheme="minorEastAsia" w:hAnsiTheme="minorEastAsia" w:eastAsiaTheme="minorEastAsia" w:cstheme="minorEastAsia"/>
          <w:b/>
          <w:color w:val="auto"/>
          <w:sz w:val="24"/>
        </w:rPr>
      </w:pPr>
    </w:p>
    <w:p>
      <w:pPr>
        <w:snapToGrid w:val="0"/>
        <w:spacing w:before="156" w:beforeLines="50" w:line="360" w:lineRule="auto"/>
        <w:ind w:firstLine="480" w:firstLineChars="200"/>
        <w:rPr>
          <w:rFonts w:asciiTheme="minorEastAsia" w:hAnsiTheme="minorEastAsia" w:eastAsiaTheme="minorEastAsia" w:cstheme="minorEastAsia"/>
          <w:color w:val="auto"/>
          <w:sz w:val="24"/>
        </w:rPr>
      </w:pPr>
    </w:p>
    <w:p>
      <w:pPr>
        <w:adjustRightInd w:val="0"/>
        <w:snapToGrid w:val="0"/>
        <w:spacing w:before="156" w:beforeLines="50" w:line="360" w:lineRule="auto"/>
        <w:ind w:firstLine="397"/>
        <w:jc w:val="center"/>
        <w:rPr>
          <w:rFonts w:asciiTheme="minorEastAsia" w:hAnsiTheme="minorEastAsia" w:eastAsiaTheme="minorEastAsia" w:cstheme="minorEastAsia"/>
          <w:b/>
          <w:snapToGrid w:val="0"/>
          <w:color w:val="auto"/>
          <w:spacing w:val="-6"/>
          <w:kern w:val="0"/>
          <w:sz w:val="24"/>
        </w:rPr>
      </w:pPr>
    </w:p>
    <w:p>
      <w:pPr>
        <w:pStyle w:val="3"/>
        <w:numPr>
          <w:ilvl w:val="0"/>
          <w:numId w:val="0"/>
        </w:numPr>
        <w:spacing w:before="156" w:beforeLines="50" w:line="360" w:lineRule="auto"/>
        <w:rPr>
          <w:rFonts w:asciiTheme="minorEastAsia" w:hAnsiTheme="minorEastAsia" w:eastAsiaTheme="minorEastAsia" w:cstheme="minorEastAsia"/>
          <w:color w:val="auto"/>
          <w:sz w:val="24"/>
          <w:szCs w:val="24"/>
        </w:rPr>
        <w:sectPr>
          <w:footerReference r:id="rId10" w:type="first"/>
          <w:pgSz w:w="11906" w:h="16838"/>
          <w:pgMar w:top="1440" w:right="1803" w:bottom="1440" w:left="1800" w:header="851" w:footer="992" w:gutter="0"/>
          <w:cols w:space="720" w:num="1"/>
          <w:titlePg/>
          <w:docGrid w:type="lines" w:linePitch="312" w:charSpace="0"/>
        </w:sectPr>
      </w:pPr>
      <w:bookmarkStart w:id="12" w:name="_Toc471818701"/>
      <w:bookmarkStart w:id="13" w:name="_Toc288738798"/>
      <w:bookmarkStart w:id="14" w:name="_Toc288738330"/>
    </w:p>
    <w:p>
      <w:pPr>
        <w:pStyle w:val="3"/>
        <w:numPr>
          <w:ilvl w:val="0"/>
          <w:numId w:val="0"/>
        </w:numPr>
        <w:spacing w:before="120" w:beforeLines="50"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第二章 响应文件</w:t>
      </w:r>
      <w:bookmarkEnd w:id="12"/>
      <w:bookmarkEnd w:id="13"/>
      <w:bookmarkEnd w:id="14"/>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15" w:name="_Toc288738799"/>
      <w:bookmarkStart w:id="16" w:name="_Toc288738405"/>
      <w:bookmarkStart w:id="17" w:name="_Toc288738331"/>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六、响应文件组成</w:t>
      </w:r>
      <w:bookmarkEnd w:id="15"/>
      <w:bookmarkEnd w:id="16"/>
      <w:bookmarkEnd w:id="17"/>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一式</w:t>
      </w:r>
      <w:r>
        <w:rPr>
          <w:rFonts w:hint="eastAsia" w:asciiTheme="minorEastAsia" w:hAnsiTheme="minorEastAsia" w:eastAsiaTheme="minorEastAsia" w:cstheme="minorEastAsia"/>
          <w:color w:val="auto"/>
          <w:sz w:val="24"/>
          <w:u w:val="single"/>
        </w:rPr>
        <w:t xml:space="preserve"> 叁</w:t>
      </w:r>
      <w:r>
        <w:rPr>
          <w:rFonts w:hint="eastAsia" w:asciiTheme="minorEastAsia" w:hAnsiTheme="minorEastAsia" w:eastAsiaTheme="minorEastAsia" w:cstheme="minorEastAsia"/>
          <w:color w:val="auto"/>
          <w:sz w:val="24"/>
        </w:rPr>
        <w:t>份，</w:t>
      </w:r>
      <w:r>
        <w:rPr>
          <w:rFonts w:hint="eastAsia" w:asciiTheme="minorEastAsia" w:hAnsiTheme="minorEastAsia" w:eastAsiaTheme="minorEastAsia" w:cstheme="minorEastAsia"/>
          <w:color w:val="auto"/>
          <w:sz w:val="24"/>
          <w:u w:val="single"/>
        </w:rPr>
        <w:t>壹</w:t>
      </w:r>
      <w:r>
        <w:rPr>
          <w:rFonts w:hint="eastAsia" w:asciiTheme="minorEastAsia" w:hAnsiTheme="minorEastAsia" w:eastAsiaTheme="minorEastAsia" w:cstheme="minorEastAsia"/>
          <w:color w:val="auto"/>
          <w:sz w:val="24"/>
        </w:rPr>
        <w:t>份正本，</w:t>
      </w:r>
      <w:r>
        <w:rPr>
          <w:rFonts w:hint="eastAsia" w:asciiTheme="minorEastAsia" w:hAnsiTheme="minorEastAsia" w:eastAsiaTheme="minorEastAsia" w:cstheme="minorEastAsia"/>
          <w:color w:val="auto"/>
          <w:sz w:val="24"/>
          <w:u w:val="single"/>
        </w:rPr>
        <w:t xml:space="preserve"> 贰 </w:t>
      </w:r>
      <w:r>
        <w:rPr>
          <w:rFonts w:hint="eastAsia" w:asciiTheme="minorEastAsia" w:hAnsiTheme="minorEastAsia" w:eastAsiaTheme="minorEastAsia" w:cstheme="minorEastAsia"/>
          <w:color w:val="auto"/>
          <w:sz w:val="24"/>
        </w:rPr>
        <w:t>份副本。响应文件应当符合磋商文件的要求，并应包括但不限于下列内容。</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1、供应商情况说明：</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供应商简介（含供应商规模、银行资信、技术能力及装备水平等）、人员情况、典型项目介绍。</w:t>
      </w:r>
    </w:p>
    <w:p>
      <w:pPr>
        <w:snapToGrid w:val="0"/>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color w:val="auto"/>
          <w:sz w:val="24"/>
        </w:rPr>
        <w:t>2、供应商资格审查材料，</w:t>
      </w:r>
      <w:r>
        <w:rPr>
          <w:rFonts w:hint="eastAsia" w:asciiTheme="minorEastAsia" w:hAnsiTheme="minorEastAsia" w:eastAsiaTheme="minorEastAsia" w:cstheme="minorEastAsia"/>
          <w:b/>
          <w:bCs/>
          <w:color w:val="auto"/>
          <w:sz w:val="24"/>
        </w:rPr>
        <w:t>证明供应商符合资格要求的证明材料包括但不限于以下材料（按备注要求将原件或者公证件在投标截止时间前随同响应文件一并提交以供核查，过时不予接收，否则视作无效投标）：</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*1）响应函（见附件）；</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*2）法定代表人参加磋商会的提供：法定代表人资格证明书（见附件）和本人身份证；委托代理人参加磋商会的提供：法定代表人资格证明书（见附件）、授权委托书（见附件）和本人身份证；</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*3）“三证合一”的营业执照（事业单位的可提供“三证合一”的组织机构代码证）； </w:t>
      </w:r>
    </w:p>
    <w:p>
      <w:pPr>
        <w:snapToGrid w:val="0"/>
        <w:spacing w:line="560" w:lineRule="exact"/>
        <w:ind w:firstLine="480" w:firstLineChars="200"/>
        <w:rPr>
          <w:rFonts w:ascii="宋体" w:hAnsi="宋体"/>
          <w:color w:val="auto"/>
          <w:sz w:val="24"/>
        </w:rPr>
      </w:pPr>
      <w:r>
        <w:rPr>
          <w:rFonts w:hint="eastAsia" w:asciiTheme="minorEastAsia" w:hAnsiTheme="minorEastAsia" w:eastAsiaTheme="minorEastAsia" w:cstheme="minorEastAsia"/>
          <w:color w:val="auto"/>
          <w:sz w:val="24"/>
        </w:rPr>
        <w:t>*4</w:t>
      </w:r>
      <w:r>
        <w:rPr>
          <w:rFonts w:hint="eastAsia" w:ascii="宋体" w:hAnsi="宋体"/>
          <w:color w:val="auto"/>
          <w:sz w:val="24"/>
        </w:rPr>
        <w:t>）上一年度财务状况报告（复印件，成立不满一年不需提供）；</w:t>
      </w:r>
    </w:p>
    <w:p>
      <w:pPr>
        <w:snapToGrid w:val="0"/>
        <w:spacing w:line="560" w:lineRule="exact"/>
        <w:ind w:firstLine="480" w:firstLineChars="200"/>
        <w:rPr>
          <w:rFonts w:ascii="宋体" w:hAnsi="宋体"/>
          <w:color w:val="auto"/>
          <w:sz w:val="24"/>
        </w:rPr>
      </w:pPr>
      <w:r>
        <w:rPr>
          <w:rFonts w:hint="eastAsia" w:asciiTheme="minorEastAsia" w:hAnsiTheme="minorEastAsia" w:eastAsiaTheme="minorEastAsia" w:cstheme="minorEastAsia"/>
          <w:color w:val="auto"/>
          <w:sz w:val="24"/>
        </w:rPr>
        <w:t>*5</w:t>
      </w:r>
      <w:r>
        <w:rPr>
          <w:rFonts w:hint="eastAsia" w:ascii="宋体" w:hAnsi="宋体"/>
          <w:color w:val="auto"/>
          <w:sz w:val="24"/>
        </w:rPr>
        <w:t>）依法缴纳税收和社会保障资金的相关材料（如纳税证明、社保缴费证明等，复印件）；</w:t>
      </w:r>
    </w:p>
    <w:p>
      <w:pPr>
        <w:pStyle w:val="13"/>
        <w:rPr>
          <w:color w:val="auto"/>
        </w:rPr>
      </w:pP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rPr>
        <w:t>）具备履行合同所必需的设备和专业技术能力的书面声明（见附件）；</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rPr>
        <w:t>）参加政府采购活动前 3 年内在经营活动中没有重大违法记录的书面声明（见附件）；</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rPr>
        <w:t>供应商资格要求涉及的其它证明材料。</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3、磋商报价：</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*1）开标一览表</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*2）分项报价表</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磋商报价的具体要求见磋商文件第四章。</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4、项目技术和实施方案，应当包括但不限于如下主题：</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1）项目技术方案</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2）项目组织实施方案和管理计划</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r>
        <w:rPr>
          <w:rFonts w:hint="eastAsia" w:ascii="宋体" w:hAnsi="宋体"/>
          <w:color w:val="auto"/>
          <w:sz w:val="24"/>
        </w:rPr>
        <w:t>拟达到的标准，配备的人员、设备配置等</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4）技术支持、售后服务方案</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5）优惠条款或承诺</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5、其他评审相关材料(须核查原件（或公证件）的材料必须在投标截止前携带至开标现场，否则评审中将不予计分)：</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1）供应商应提交的各类证明资料；</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2）典型项目合同</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参与本项目的技术人员一览表（提供姓名、学历、年龄、资质证书情况、以往参加类似项目情况、在本项目中的责任等），明确负责本项目的项目经理、技术负责人，提供相关人员的职称或资格证书复印件；</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4）供应商相关荣誉证明资料；</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5)其他相关材料。</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6、说明</w:t>
      </w:r>
    </w:p>
    <w:p>
      <w:pPr>
        <w:spacing w:before="120" w:beforeLines="50" w:line="360" w:lineRule="auto"/>
        <w:ind w:firstLine="482" w:firstLineChars="200"/>
        <w:rPr>
          <w:rFonts w:asciiTheme="minorEastAsia" w:hAnsiTheme="minorEastAsia" w:eastAsiaTheme="minorEastAsia" w:cstheme="minorEastAsia"/>
          <w:b/>
          <w:snapToGrid w:val="0"/>
          <w:color w:val="auto"/>
          <w:spacing w:val="-6"/>
          <w:kern w:val="0"/>
          <w:sz w:val="24"/>
        </w:rPr>
      </w:pPr>
      <w:r>
        <w:rPr>
          <w:rFonts w:hint="eastAsia" w:asciiTheme="minorEastAsia" w:hAnsiTheme="minorEastAsia" w:eastAsiaTheme="minorEastAsia" w:cstheme="minorEastAsia"/>
          <w:b/>
          <w:bCs/>
          <w:color w:val="auto"/>
          <w:sz w:val="24"/>
        </w:rPr>
        <w:t>上述带“*”条款供应商必须在响应文件中提供，否则将作为无效响应处理。</w:t>
      </w:r>
      <w:r>
        <w:rPr>
          <w:rFonts w:hint="eastAsia" w:asciiTheme="minorEastAsia" w:hAnsiTheme="minorEastAsia" w:eastAsiaTheme="minorEastAsia" w:cstheme="minorEastAsia"/>
          <w:bCs/>
          <w:color w:val="auto"/>
          <w:sz w:val="24"/>
        </w:rPr>
        <w:t>所有项目若有缺失或无效将可能导致响应无效且不允许在响应截止后补正。响应文件中提供复印件，并将备注要求提供的原件（或公证件）在响应截止时间前随同响应文件一并提交以供核查，过时不予接收。</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18" w:name="_Toc288738406"/>
      <w:bookmarkStart w:id="19" w:name="_Toc288738800"/>
      <w:bookmarkStart w:id="20" w:name="_Toc288738332"/>
      <w:r>
        <w:rPr>
          <w:rFonts w:hint="eastAsia" w:asciiTheme="minorEastAsia" w:hAnsiTheme="minorEastAsia" w:eastAsiaTheme="minorEastAsia" w:cstheme="minorEastAsia"/>
          <w:b/>
          <w:color w:val="auto"/>
          <w:sz w:val="24"/>
        </w:rPr>
        <w:t>七、供应商应认真检查磋商文件的内容是否齐全，如有遗漏，自行补齐，否则责任自负。</w:t>
      </w:r>
      <w:bookmarkEnd w:id="18"/>
      <w:bookmarkEnd w:id="19"/>
      <w:bookmarkEnd w:id="20"/>
      <w:bookmarkStart w:id="21" w:name="_Toc288738801"/>
      <w:bookmarkStart w:id="22" w:name="_Toc288738333"/>
      <w:bookmarkStart w:id="23" w:name="_Toc288738407"/>
    </w:p>
    <w:bookmarkEnd w:id="21"/>
    <w:bookmarkEnd w:id="22"/>
    <w:bookmarkEnd w:id="23"/>
    <w:p>
      <w:pPr>
        <w:pStyle w:val="3"/>
        <w:numPr>
          <w:ilvl w:val="0"/>
          <w:numId w:val="0"/>
        </w:numPr>
        <w:spacing w:before="120" w:beforeLines="50" w:line="360" w:lineRule="auto"/>
        <w:ind w:firstLine="2650" w:firstLineChars="1100"/>
        <w:jc w:val="both"/>
        <w:rPr>
          <w:rFonts w:asciiTheme="minorEastAsia" w:hAnsiTheme="minorEastAsia" w:eastAsiaTheme="minorEastAsia" w:cstheme="minorEastAsia"/>
          <w:color w:val="auto"/>
          <w:sz w:val="24"/>
          <w:szCs w:val="24"/>
        </w:rPr>
      </w:pPr>
      <w:bookmarkStart w:id="24" w:name="_Toc288738336"/>
      <w:bookmarkStart w:id="25" w:name="_Toc288738804"/>
      <w:bookmarkStart w:id="26" w:name="_Toc471818702"/>
      <w:r>
        <w:rPr>
          <w:rFonts w:hint="eastAsia" w:asciiTheme="minorEastAsia" w:hAnsiTheme="minorEastAsia" w:eastAsiaTheme="minorEastAsia" w:cstheme="minorEastAsia"/>
          <w:color w:val="auto"/>
          <w:sz w:val="24"/>
          <w:szCs w:val="24"/>
        </w:rPr>
        <w:t>第三章 响应文件密封和提交</w:t>
      </w:r>
      <w:bookmarkEnd w:id="24"/>
      <w:bookmarkEnd w:id="25"/>
      <w:bookmarkEnd w:id="26"/>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27" w:name="_Toc288738337"/>
      <w:bookmarkStart w:id="28" w:name="_Toc288738805"/>
      <w:bookmarkStart w:id="29" w:name="_Toc288738411"/>
      <w:r>
        <w:rPr>
          <w:rFonts w:hint="eastAsia" w:asciiTheme="minorEastAsia" w:hAnsiTheme="minorEastAsia" w:eastAsiaTheme="minorEastAsia" w:cstheme="minorEastAsia"/>
          <w:b/>
          <w:color w:val="auto"/>
          <w:sz w:val="24"/>
        </w:rPr>
        <w:t>八、响应文件的密封与标志</w:t>
      </w:r>
      <w:bookmarkEnd w:id="27"/>
      <w:bookmarkEnd w:id="28"/>
      <w:bookmarkEnd w:id="29"/>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1、供应商应将响应文件密封。</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2、所有封袋上都应写明供应商名称、采购项目名称，采购项目编号，年月日，加盖供应商公章。</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3、供应商违反上述规定的，其响应文件将被作为无效响应文件，不予拆封和参加评审。</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30" w:name="_Toc288738412"/>
      <w:bookmarkStart w:id="31" w:name="_Toc288738806"/>
      <w:bookmarkStart w:id="32" w:name="_Toc288738338"/>
      <w:r>
        <w:rPr>
          <w:rFonts w:hint="eastAsia" w:asciiTheme="minorEastAsia" w:hAnsiTheme="minorEastAsia" w:eastAsiaTheme="minorEastAsia" w:cstheme="minorEastAsia"/>
          <w:b/>
          <w:color w:val="auto"/>
          <w:sz w:val="24"/>
        </w:rPr>
        <w:t>九、响应文件提交，截止时间和地</w:t>
      </w:r>
      <w:bookmarkEnd w:id="30"/>
      <w:bookmarkEnd w:id="31"/>
      <w:bookmarkEnd w:id="32"/>
      <w:r>
        <w:rPr>
          <w:rFonts w:hint="eastAsia" w:asciiTheme="minorEastAsia" w:hAnsiTheme="minorEastAsia" w:eastAsiaTheme="minorEastAsia" w:cstheme="minorEastAsia"/>
          <w:b/>
          <w:color w:val="auto"/>
          <w:sz w:val="24"/>
        </w:rPr>
        <w:t>点</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供应商须在竞争性磋商采购公告规定的响应文件提交截止时间之前在指定地点将响应文件提交给江苏畅誉项目管理有限公司。</w:t>
      </w:r>
    </w:p>
    <w:p>
      <w:pPr>
        <w:spacing w:before="120" w:beforeLines="50" w:line="360" w:lineRule="auto"/>
        <w:ind w:firstLine="490" w:firstLineChars="200"/>
        <w:rPr>
          <w:rFonts w:asciiTheme="minorEastAsia" w:hAnsiTheme="minorEastAsia" w:eastAsiaTheme="minorEastAsia" w:cstheme="minorEastAsia"/>
          <w:b/>
          <w:color w:val="auto"/>
          <w:spacing w:val="2"/>
          <w:sz w:val="24"/>
        </w:rPr>
      </w:pPr>
      <w:r>
        <w:rPr>
          <w:rFonts w:hint="eastAsia" w:asciiTheme="minorEastAsia" w:hAnsiTheme="minorEastAsia" w:eastAsiaTheme="minorEastAsia" w:cstheme="minorEastAsia"/>
          <w:b/>
          <w:color w:val="auto"/>
          <w:spacing w:val="2"/>
          <w:sz w:val="24"/>
        </w:rPr>
        <w:t>供应商在提交响应文件时须提供法定代表人或代理人身份证原件，未提供的，代理机构不接受其响应文件，不予参加磋商和评审。</w:t>
      </w:r>
    </w:p>
    <w:p>
      <w:pPr>
        <w:spacing w:before="120" w:beforeLines="50" w:line="360" w:lineRule="auto"/>
        <w:ind w:firstLine="480" w:firstLineChars="200"/>
        <w:rPr>
          <w:rFonts w:asciiTheme="minorEastAsia" w:hAnsiTheme="minorEastAsia" w:eastAsiaTheme="minorEastAsia" w:cstheme="minorEastAsia"/>
          <w:b/>
          <w:color w:val="auto"/>
          <w:spacing w:val="2"/>
          <w:sz w:val="24"/>
        </w:rPr>
      </w:pPr>
      <w:r>
        <w:rPr>
          <w:rFonts w:hint="eastAsia" w:asciiTheme="minorEastAsia" w:hAnsiTheme="minorEastAsia" w:eastAsiaTheme="minorEastAsia" w:cstheme="minorEastAsia"/>
          <w:color w:val="auto"/>
          <w:sz w:val="24"/>
        </w:rPr>
        <w:t>供应商的法定代表人或授权委托代理人未准时参加开标活动的视为自动放弃投标，其响应文件将不予评审。</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33" w:name="_Toc288738413"/>
      <w:bookmarkStart w:id="34" w:name="_Toc288738339"/>
      <w:bookmarkStart w:id="35" w:name="_Toc288738807"/>
      <w:r>
        <w:rPr>
          <w:rFonts w:hint="eastAsia" w:asciiTheme="minorEastAsia" w:hAnsiTheme="minorEastAsia" w:eastAsiaTheme="minorEastAsia" w:cstheme="minorEastAsia"/>
          <w:b/>
          <w:color w:val="auto"/>
          <w:sz w:val="24"/>
        </w:rPr>
        <w:t>十、响应文件的修改和撤回</w:t>
      </w:r>
      <w:bookmarkEnd w:id="33"/>
      <w:bookmarkEnd w:id="34"/>
      <w:bookmarkEnd w:id="35"/>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adjustRightInd w:val="0"/>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pPr>
        <w:pStyle w:val="3"/>
        <w:numPr>
          <w:ilvl w:val="0"/>
          <w:numId w:val="0"/>
        </w:numPr>
        <w:spacing w:before="120" w:beforeLines="50" w:line="360" w:lineRule="auto"/>
        <w:rPr>
          <w:rFonts w:asciiTheme="minorEastAsia" w:hAnsiTheme="minorEastAsia" w:eastAsiaTheme="minorEastAsia" w:cstheme="minorEastAsia"/>
          <w:color w:val="auto"/>
          <w:sz w:val="24"/>
          <w:szCs w:val="24"/>
        </w:rPr>
      </w:pPr>
      <w:bookmarkStart w:id="36" w:name="_Toc288738340"/>
      <w:bookmarkStart w:id="37" w:name="_Toc471818703"/>
      <w:bookmarkStart w:id="38" w:name="_Toc288738808"/>
      <w:r>
        <w:rPr>
          <w:rFonts w:hint="eastAsia" w:asciiTheme="minorEastAsia" w:hAnsiTheme="minorEastAsia" w:eastAsiaTheme="minorEastAsia" w:cstheme="minorEastAsia"/>
          <w:color w:val="auto"/>
          <w:sz w:val="24"/>
          <w:szCs w:val="24"/>
        </w:rPr>
        <w:t>第四章 磋商报价</w:t>
      </w:r>
      <w:bookmarkEnd w:id="36"/>
      <w:bookmarkEnd w:id="37"/>
      <w:bookmarkEnd w:id="38"/>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39" w:name="_Toc288738415"/>
      <w:bookmarkStart w:id="40" w:name="_Toc288738341"/>
      <w:bookmarkStart w:id="41" w:name="_Toc288738809"/>
      <w:r>
        <w:rPr>
          <w:rFonts w:hint="eastAsia" w:asciiTheme="minorEastAsia" w:hAnsiTheme="minorEastAsia" w:eastAsiaTheme="minorEastAsia" w:cstheme="minorEastAsia"/>
          <w:b/>
          <w:color w:val="auto"/>
          <w:sz w:val="24"/>
        </w:rPr>
        <w:t>十一、</w:t>
      </w:r>
      <w:bookmarkEnd w:id="39"/>
      <w:bookmarkEnd w:id="40"/>
      <w:bookmarkEnd w:id="41"/>
      <w:r>
        <w:rPr>
          <w:rFonts w:hint="eastAsia" w:asciiTheme="minorEastAsia" w:hAnsiTheme="minorEastAsia" w:eastAsiaTheme="minorEastAsia" w:cstheme="minorEastAsia"/>
          <w:b/>
          <w:color w:val="auto"/>
          <w:sz w:val="24"/>
        </w:rPr>
        <w:t>项目总价应包括磋商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42" w:name="_Toc288738342"/>
      <w:bookmarkStart w:id="43" w:name="_Toc288738416"/>
      <w:bookmarkStart w:id="44" w:name="_Toc288738810"/>
      <w:r>
        <w:rPr>
          <w:rFonts w:hint="eastAsia" w:asciiTheme="minorEastAsia" w:hAnsiTheme="minorEastAsia" w:eastAsiaTheme="minorEastAsia" w:cstheme="minorEastAsia"/>
          <w:b/>
          <w:color w:val="auto"/>
          <w:sz w:val="24"/>
        </w:rPr>
        <w:t>十二、磋商报价方式</w:t>
      </w:r>
      <w:bookmarkEnd w:id="42"/>
      <w:bookmarkEnd w:id="43"/>
      <w:bookmarkEnd w:id="44"/>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1、供应商应按照磋商文件中提供的格式完整、正确填写开标一览表。开标一览表中的报价应与分项报价表的总价完全一致，如有不一致的，以开标一览表的报价为准。</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报价货币为人民币，评标时以人民币为准。</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2、供应商应按照磋商文件规定格式填报投分项报价表。</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3、培训服务费用报价：由各供应商根据企业自身情况自行决定是否单列。如供应商单列培训费用，则自行将磋商文件所提供的“分项报价表”格式扩展。</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4、售后服务费用报价：同上。</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5、供应商需对每部分报价包含的服务内容进行明确说明。如有特别承诺，也需明确说明。</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6、本项目的最高限价（或者采购预算）为：</w:t>
      </w:r>
      <w:r>
        <w:rPr>
          <w:rFonts w:hint="eastAsia" w:asciiTheme="minorEastAsia" w:hAnsiTheme="minorEastAsia" w:eastAsiaTheme="minorEastAsia" w:cstheme="minorEastAsia"/>
          <w:b/>
          <w:color w:val="auto"/>
          <w:sz w:val="24"/>
        </w:rPr>
        <w:t>人民币：</w:t>
      </w:r>
      <w:r>
        <w:rPr>
          <w:rFonts w:hint="eastAsia" w:asciiTheme="minorEastAsia" w:hAnsiTheme="minorEastAsia" w:eastAsiaTheme="minorEastAsia" w:cstheme="minorEastAsia"/>
          <w:b/>
          <w:bCs/>
          <w:color w:val="auto"/>
          <w:sz w:val="24"/>
        </w:rPr>
        <w:t>244676.79</w:t>
      </w:r>
      <w:r>
        <w:rPr>
          <w:rFonts w:hint="eastAsia" w:asciiTheme="minorEastAsia" w:hAnsiTheme="minorEastAsia" w:eastAsiaTheme="minorEastAsia" w:cstheme="minorEastAsia"/>
          <w:b/>
          <w:color w:val="auto"/>
          <w:sz w:val="24"/>
        </w:rPr>
        <w:t>元，</w:t>
      </w:r>
      <w:r>
        <w:rPr>
          <w:rFonts w:hint="eastAsia" w:asciiTheme="minorEastAsia" w:hAnsiTheme="minorEastAsia" w:eastAsiaTheme="minorEastAsia" w:cstheme="minorEastAsia"/>
          <w:color w:val="auto"/>
          <w:sz w:val="24"/>
        </w:rPr>
        <w:t>项目报价高于最高限价（或者采购预算）的作为无效响应处理。</w:t>
      </w:r>
    </w:p>
    <w:p>
      <w:pPr>
        <w:snapToGrid w:val="0"/>
        <w:spacing w:before="120" w:beforeLines="50" w:line="360" w:lineRule="auto"/>
        <w:ind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 xml:space="preserve">7、磋商报价次数：本项目采用 </w:t>
      </w:r>
      <w:r>
        <w:rPr>
          <w:rFonts w:hint="eastAsia" w:asciiTheme="minorEastAsia" w:hAnsiTheme="minorEastAsia" w:eastAsiaTheme="minorEastAsia" w:cstheme="minorEastAsia"/>
          <w:color w:val="auto"/>
          <w:sz w:val="24"/>
          <w:u w:val="single"/>
        </w:rPr>
        <w:t xml:space="preserve"> 一 </w:t>
      </w:r>
      <w:r>
        <w:rPr>
          <w:rFonts w:hint="eastAsia" w:asciiTheme="minorEastAsia" w:hAnsiTheme="minorEastAsia" w:eastAsiaTheme="minorEastAsia" w:cstheme="minorEastAsia"/>
          <w:color w:val="auto"/>
          <w:sz w:val="24"/>
        </w:rPr>
        <w:t>次报价，响应文件的磋商报价为最终次报价，在磋商谈判结束后，磋商小组应当要求所有实质性响应的供应商在规定时间内提交最后报价，最后报价作为评分依据。</w:t>
      </w:r>
    </w:p>
    <w:p>
      <w:pPr>
        <w:snapToGrid w:val="0"/>
        <w:spacing w:before="120" w:beforeLines="50" w:line="360" w:lineRule="auto"/>
        <w:ind w:firstLine="480" w:firstLineChars="200"/>
        <w:rPr>
          <w:rFonts w:asciiTheme="minorEastAsia" w:hAnsiTheme="minorEastAsia" w:eastAsiaTheme="minorEastAsia" w:cstheme="minorEastAsia"/>
          <w:color w:val="auto"/>
          <w:sz w:val="24"/>
          <w:u w:val="single"/>
        </w:rPr>
      </w:pPr>
    </w:p>
    <w:p>
      <w:pPr>
        <w:pStyle w:val="3"/>
        <w:numPr>
          <w:ilvl w:val="0"/>
          <w:numId w:val="0"/>
        </w:numPr>
        <w:spacing w:before="120" w:beforeLines="50" w:line="360" w:lineRule="auto"/>
        <w:rPr>
          <w:rFonts w:asciiTheme="minorEastAsia" w:hAnsiTheme="minorEastAsia" w:eastAsiaTheme="minorEastAsia" w:cstheme="minorEastAsia"/>
          <w:color w:val="auto"/>
          <w:sz w:val="24"/>
          <w:szCs w:val="24"/>
        </w:rPr>
      </w:pPr>
      <w:bookmarkStart w:id="45" w:name="_Toc288738343"/>
      <w:bookmarkStart w:id="46" w:name="_Toc288738811"/>
      <w:bookmarkStart w:id="47" w:name="_Toc471818704"/>
      <w:r>
        <w:rPr>
          <w:rFonts w:hint="eastAsia" w:asciiTheme="minorEastAsia" w:hAnsiTheme="minorEastAsia" w:eastAsiaTheme="minorEastAsia" w:cstheme="minorEastAsia"/>
          <w:color w:val="auto"/>
          <w:sz w:val="24"/>
          <w:szCs w:val="24"/>
        </w:rPr>
        <w:t>第五章  磋商、评审、评定成交</w:t>
      </w:r>
      <w:bookmarkEnd w:id="45"/>
      <w:bookmarkEnd w:id="46"/>
      <w:bookmarkEnd w:id="47"/>
    </w:p>
    <w:p>
      <w:pPr>
        <w:snapToGrid w:val="0"/>
        <w:spacing w:before="120" w:beforeLines="50" w:line="360" w:lineRule="auto"/>
        <w:ind w:firstLine="480" w:firstLineChars="200"/>
        <w:rPr>
          <w:rFonts w:asciiTheme="minorEastAsia" w:hAnsiTheme="minorEastAsia" w:eastAsiaTheme="minorEastAsia" w:cstheme="minorEastAsia"/>
          <w:color w:val="auto"/>
          <w:sz w:val="24"/>
        </w:rPr>
      </w:pP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十三、评标委员会</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1、评标由依法组建的评标委员会负责。评委会由采购人代表和有关技术、经济等方面的专家组成，且人员构成符合相关规定。评委会独立工作，负责评审所有响应文件并确定中标侯选人。</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2、评标委员会负责具体的评标事务，并独立履行以下职责：</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1）审查、评价投标文件是否符合招标文件的商务、技术等实质性要求；</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2）要求供应商对响应文件有关事项作出澄清或者说明；</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3）对响应文件进行比较和评价；</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4）推荐中标候选人名单，或受代理机构委托按照事先确定的办法直接确定中标人；</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5）向采购人、采购代理机构或者有关部门报告评标中发现的违法行为。</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3、评标委员会成员应当履行下列义务：</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1）遵纪守法，客观、公正、廉洁地履行职责；</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2）按照招标文件规定的评审办法和评分标准进行评审，对评审意见承担个人责任；</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3）对评标过程和结果，以及供应商的商业秘密保密；</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4）负责评标报告的起草；</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6）配合代理机构答复供应商对中标结果提出的质疑。</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48" w:name="_Toc288738345"/>
      <w:bookmarkStart w:id="49" w:name="_Toc288738813"/>
      <w:bookmarkStart w:id="50" w:name="_Toc288738419"/>
      <w:r>
        <w:rPr>
          <w:rFonts w:hint="eastAsia" w:asciiTheme="minorEastAsia" w:hAnsiTheme="minorEastAsia" w:eastAsiaTheme="minorEastAsia" w:cstheme="minorEastAsia"/>
          <w:b/>
          <w:color w:val="auto"/>
          <w:sz w:val="24"/>
        </w:rPr>
        <w:t>十四、评审、评定成交方法</w:t>
      </w:r>
      <w:bookmarkEnd w:id="48"/>
      <w:bookmarkEnd w:id="49"/>
      <w:bookmarkEnd w:id="50"/>
    </w:p>
    <w:p>
      <w:pPr>
        <w:snapToGrid w:val="0"/>
        <w:spacing w:before="120" w:beforeLines="50" w:line="360" w:lineRule="auto"/>
        <w:ind w:firstLine="480" w:firstLineChars="200"/>
        <w:rPr>
          <w:rFonts w:asciiTheme="minorEastAsia" w:hAnsiTheme="minorEastAsia" w:eastAsiaTheme="minorEastAsia" w:cstheme="minorEastAsia"/>
          <w:color w:val="auto"/>
          <w:sz w:val="24"/>
        </w:rPr>
      </w:pPr>
      <w:bookmarkStart w:id="51" w:name="_Toc288738346"/>
      <w:bookmarkStart w:id="52" w:name="_Toc288738420"/>
      <w:bookmarkStart w:id="53" w:name="_Toc288738814"/>
      <w:r>
        <w:rPr>
          <w:rFonts w:hint="eastAsia" w:asciiTheme="minorEastAsia" w:hAnsiTheme="minorEastAsia" w:eastAsiaTheme="minorEastAsia" w:cstheme="minorEastAsia"/>
          <w:color w:val="auto"/>
          <w:sz w:val="24"/>
        </w:rPr>
        <w:t>本项目采</w:t>
      </w:r>
      <w:r>
        <w:rPr>
          <w:rFonts w:hint="eastAsia" w:asciiTheme="minorEastAsia" w:hAnsiTheme="minorEastAsia" w:eastAsiaTheme="minorEastAsia" w:cstheme="minorEastAsia"/>
          <w:color w:val="auto"/>
          <w:sz w:val="24"/>
        </w:rPr>
        <w:t>用综合评分法</w:t>
      </w:r>
      <w:r>
        <w:rPr>
          <w:rFonts w:hint="eastAsia" w:asciiTheme="minorEastAsia" w:hAnsiTheme="minorEastAsia" w:eastAsiaTheme="minorEastAsia" w:cstheme="minorEastAsia"/>
          <w:color w:val="auto"/>
          <w:sz w:val="24"/>
        </w:rPr>
        <w:t>，响应文件满足磋商文件全部实质性要求且按照评审因素的量化指标（即评分细则）得分最高的供应商为成交人。</w:t>
      </w:r>
    </w:p>
    <w:bookmarkEnd w:id="51"/>
    <w:bookmarkEnd w:id="52"/>
    <w:bookmarkEnd w:id="53"/>
    <w:p>
      <w:pPr>
        <w:adjustRightInd w:val="0"/>
        <w:snapToGrid w:val="0"/>
        <w:spacing w:before="120" w:beforeLines="50" w:line="360" w:lineRule="auto"/>
        <w:ind w:firstLine="397"/>
        <w:rPr>
          <w:rFonts w:asciiTheme="minorEastAsia" w:hAnsiTheme="minorEastAsia" w:eastAsiaTheme="minorEastAsia" w:cstheme="minorEastAsia"/>
          <w:color w:val="auto"/>
          <w:sz w:val="24"/>
        </w:rPr>
      </w:pP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54" w:name="_Toc288738349"/>
      <w:bookmarkStart w:id="55" w:name="_Toc288738817"/>
      <w:bookmarkStart w:id="56" w:name="_Toc288738423"/>
      <w:r>
        <w:rPr>
          <w:rFonts w:hint="eastAsia" w:asciiTheme="minorEastAsia" w:hAnsiTheme="minorEastAsia" w:eastAsiaTheme="minorEastAsia" w:cstheme="minorEastAsia"/>
          <w:b/>
          <w:color w:val="auto"/>
          <w:sz w:val="24"/>
        </w:rPr>
        <w:t>十五、响应文件出现下列情况之一的，将作为无效响应文件处理，无效响应文件不予参加评审。</w:t>
      </w:r>
      <w:bookmarkEnd w:id="54"/>
      <w:bookmarkEnd w:id="55"/>
      <w:bookmarkEnd w:id="56"/>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1、响应文件未按规定标志、密封、盖章的；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2、响应文件未加盖供应商公章的；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b/>
          <w:bCs/>
          <w:color w:val="auto"/>
          <w:sz w:val="24"/>
        </w:rPr>
        <w:t>法定代表人资格证明书或授权委托书未提供的</w:t>
      </w:r>
      <w:r>
        <w:rPr>
          <w:rFonts w:hint="eastAsia" w:asciiTheme="minorEastAsia" w:hAnsiTheme="minorEastAsia" w:eastAsiaTheme="minorEastAsia" w:cstheme="minorEastAsia"/>
          <w:color w:val="auto"/>
          <w:sz w:val="24"/>
        </w:rPr>
        <w:t>、无供应商公章的、无法定代表人或委托代理人签字或盖章的、非原件的；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4、供应商未通过报名的或者在名称上和法人地位上与报名情况发生实质性的改变的；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5、供应商不符合磋商文件中规定资格要求的，或者资格要求证明材料提供不齐全的；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6、响应文件未按磋商文件规定的格式、内容和要求编制，响应文件字迹潦草、模糊、难以辨认；</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7、供应商在一份响应文件中，对同一采购项目报有两个或多个报价，且未书面确定以哪个报价为准的；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8、供应商在磋商报价中存在严重错误，并影响对其他供应商的评分的；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9、响应文件材料所述情况和所附相关资料不实的；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10、供应商以他人的名义投标、串通投标、以行贿手段谋取中标或者以其他弄虚作假方式投标的。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11、逾期送达的响应文件；</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12、未按磋商文件要求缴纳磋商保证金的；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13、供应商的最终磋商报价超出采购预算或者最高限价的；</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14、磋商文件明确规定无效的其他情形，或者其他被磋商小组认定无效的情况；</w:t>
      </w:r>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15、不符合法律、法规和磋商文件规定的其他实质性要求的。</w:t>
      </w:r>
    </w:p>
    <w:p>
      <w:pPr>
        <w:snapToGrid w:val="0"/>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16、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napToGrid w:val="0"/>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snapToGrid w:val="0"/>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18、响应文件含有采购人不能接受的附加条件的；</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19、不符合法律、法规和招标文件规定的其他实质性要求的。</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20、有下列情形之一的，视为供应商串通投标，投标无效：</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1）不同供应商的响应文件由同一单位或者个人编制；</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2）不同供应商委托同一单位或者个人办理投标事宜；</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3）不同供应商的响应文件载明的项目管理成员或者联系人员为同一人；</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4）不同供应商的响应文件异常一致或者投标报价呈规律性差异；</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5）不同供应商的响应文件相互混装；</w:t>
      </w:r>
    </w:p>
    <w:p>
      <w:pPr>
        <w:snapToGrid w:val="0"/>
        <w:spacing w:before="120" w:beforeLines="50" w:line="360" w:lineRule="auto"/>
        <w:ind w:firstLine="482"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6）不同供应商的投标保证金从同一单位或者个人的账户转出。</w:t>
      </w:r>
    </w:p>
    <w:p>
      <w:pPr>
        <w:snapToGrid w:val="0"/>
        <w:spacing w:before="120" w:beforeLines="50" w:line="360" w:lineRule="auto"/>
        <w:ind w:firstLine="482" w:firstLineChars="200"/>
        <w:rPr>
          <w:rFonts w:asciiTheme="minorEastAsia" w:hAnsiTheme="minorEastAsia" w:eastAsiaTheme="minorEastAsia" w:cstheme="minorEastAsia"/>
          <w:b/>
          <w:color w:val="auto"/>
          <w:sz w:val="24"/>
        </w:rPr>
      </w:pPr>
      <w:bookmarkStart w:id="57" w:name="_Toc288738818"/>
      <w:bookmarkStart w:id="58" w:name="_Toc288738424"/>
      <w:bookmarkStart w:id="59" w:name="_Toc288738350"/>
      <w:r>
        <w:rPr>
          <w:rFonts w:hint="eastAsia" w:asciiTheme="minorEastAsia" w:hAnsiTheme="minorEastAsia" w:eastAsiaTheme="minorEastAsia" w:cstheme="minorEastAsia"/>
          <w:b/>
          <w:color w:val="auto"/>
          <w:sz w:val="24"/>
        </w:rPr>
        <w:t>十六、评审、评定成交</w:t>
      </w:r>
      <w:bookmarkEnd w:id="57"/>
      <w:bookmarkEnd w:id="58"/>
      <w:bookmarkEnd w:id="59"/>
    </w:p>
    <w:p>
      <w:pPr>
        <w:snapToGrid w:val="0"/>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评审由依法组建的磋商小组负责。由磋商小组出具书面评审报告，推荐成交候选供应商顺序并确定成交供应商，采购人确认。</w:t>
      </w:r>
    </w:p>
    <w:p>
      <w:pPr>
        <w:pStyle w:val="3"/>
        <w:numPr>
          <w:ilvl w:val="0"/>
          <w:numId w:val="0"/>
        </w:numPr>
        <w:spacing w:before="120" w:beforeLines="50" w:line="360" w:lineRule="auto"/>
        <w:rPr>
          <w:rFonts w:asciiTheme="minorEastAsia" w:hAnsiTheme="minorEastAsia" w:eastAsiaTheme="minorEastAsia" w:cstheme="minorEastAsia"/>
          <w:color w:val="auto"/>
          <w:sz w:val="24"/>
          <w:szCs w:val="24"/>
        </w:rPr>
      </w:pPr>
      <w:bookmarkStart w:id="60" w:name="_Hlt518618306"/>
      <w:bookmarkEnd w:id="60"/>
      <w:bookmarkStart w:id="61" w:name="_Toc288738391"/>
      <w:bookmarkStart w:id="62" w:name="_Toc288767601"/>
      <w:bookmarkStart w:id="63" w:name="_Toc471818705"/>
      <w:bookmarkStart w:id="64" w:name="_Toc288738833"/>
      <w:r>
        <w:rPr>
          <w:rFonts w:hint="eastAsia" w:asciiTheme="minorEastAsia" w:hAnsiTheme="minorEastAsia" w:eastAsiaTheme="minorEastAsia" w:cstheme="minorEastAsia"/>
          <w:color w:val="auto"/>
          <w:sz w:val="24"/>
          <w:szCs w:val="24"/>
        </w:rPr>
        <w:t>第六章 格式附表</w:t>
      </w:r>
      <w:bookmarkEnd w:id="61"/>
      <w:bookmarkEnd w:id="62"/>
      <w:bookmarkEnd w:id="63"/>
      <w:bookmarkEnd w:id="64"/>
    </w:p>
    <w:p>
      <w:pPr>
        <w:spacing w:before="120" w:beforeLines="50" w:line="360" w:lineRule="auto"/>
        <w:rPr>
          <w:rFonts w:asciiTheme="minorEastAsia" w:hAnsiTheme="minorEastAsia" w:eastAsiaTheme="minorEastAsia" w:cstheme="minorEastAsia"/>
          <w:b/>
          <w:color w:val="auto"/>
          <w:sz w:val="24"/>
        </w:rPr>
      </w:pPr>
      <w:bookmarkStart w:id="65" w:name="_Toc288738393"/>
      <w:bookmarkStart w:id="66" w:name="_Toc288738835"/>
      <w:r>
        <w:rPr>
          <w:rFonts w:hint="eastAsia" w:asciiTheme="minorEastAsia" w:hAnsiTheme="minorEastAsia" w:eastAsiaTheme="minorEastAsia" w:cstheme="minorEastAsia"/>
          <w:b/>
          <w:color w:val="auto"/>
          <w:sz w:val="24"/>
        </w:rPr>
        <w:t>附件一：</w:t>
      </w:r>
    </w:p>
    <w:bookmarkEnd w:id="65"/>
    <w:bookmarkEnd w:id="66"/>
    <w:p>
      <w:pPr>
        <w:pStyle w:val="4"/>
        <w:numPr>
          <w:ilvl w:val="1"/>
          <w:numId w:val="0"/>
        </w:numPr>
        <w:spacing w:line="380" w:lineRule="atLeast"/>
        <w:jc w:val="center"/>
        <w:rPr>
          <w:rFonts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响 应 函</w:t>
      </w:r>
    </w:p>
    <w:p>
      <w:pPr>
        <w:spacing w:line="4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致常州市天宁区青龙街道社区服务中心：</w:t>
      </w:r>
    </w:p>
    <w:p>
      <w:pPr>
        <w:pStyle w:val="2"/>
        <w:rPr>
          <w:rFonts w:hint="default" w:eastAsiaTheme="minorEastAsia"/>
          <w:color w:val="auto"/>
          <w:lang w:val="en-US" w:eastAsia="zh-CN"/>
        </w:rPr>
      </w:pPr>
      <w:r>
        <w:rPr>
          <w:rFonts w:hint="eastAsia" w:asciiTheme="minorEastAsia" w:hAnsiTheme="minorEastAsia" w:eastAsiaTheme="minorEastAsia" w:cstheme="minorEastAsia"/>
          <w:color w:val="auto"/>
          <w:sz w:val="24"/>
          <w:lang w:val="en-US" w:eastAsia="zh-CN"/>
        </w:rPr>
        <w:t xml:space="preserve">  江苏畅誉项目管理有限公司</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我方收到贵单位磋商文件，经仔细阅读和研究，我们决定参加本次磋商。</w:t>
      </w:r>
    </w:p>
    <w:p>
      <w:pPr>
        <w:spacing w:line="400" w:lineRule="exact"/>
        <w:ind w:left="660" w:leftChars="200" w:hanging="240" w:hanging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1、愿意按照磋商文件的一切要求，承接项目，价格为</w:t>
      </w:r>
      <w:r>
        <w:rPr>
          <w:rFonts w:hint="eastAsia" w:asciiTheme="minorEastAsia" w:hAnsiTheme="minorEastAsia" w:eastAsiaTheme="minorEastAsia" w:cstheme="minorEastAsia"/>
          <w:color w:val="auto"/>
          <w:sz w:val="24"/>
          <w:u w:val="single"/>
        </w:rPr>
        <w:t xml:space="preserve"> </w:t>
      </w:r>
      <w:r>
        <w:rPr>
          <w:rFonts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（大写）元（人民币），（小写）元（人民币）。一旦我方中标，我方保证在</w:t>
      </w:r>
      <w:r>
        <w:rPr>
          <w:rFonts w:hint="eastAsia" w:asciiTheme="minorEastAsia" w:hAnsiTheme="minorEastAsia" w:eastAsiaTheme="minorEastAsia" w:cstheme="minorEastAsia"/>
          <w:color w:val="auto"/>
          <w:sz w:val="24"/>
          <w:u w:val="single"/>
        </w:rPr>
        <w:t>合同签订后</w:t>
      </w:r>
      <w:r>
        <w:rPr>
          <w:rFonts w:hint="eastAsia" w:asciiTheme="minorEastAsia" w:hAnsiTheme="minorEastAsia" w:eastAsiaTheme="minorEastAsia" w:cstheme="minorEastAsia"/>
          <w:color w:val="auto"/>
          <w:sz w:val="24"/>
        </w:rPr>
        <w:t>立即履行合同约定的内容。</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2、如果我们的响应文件被接受，我们将履行响应文件中规定的每一项要求，按期、按质、按量，完成任务。</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3、我们同意按响应文件的规定，</w:t>
      </w:r>
      <w:r>
        <w:rPr>
          <w:rFonts w:hint="eastAsia" w:asciiTheme="minorEastAsia" w:hAnsiTheme="minorEastAsia" w:eastAsiaTheme="minorEastAsia" w:cstheme="minorEastAsia"/>
          <w:color w:val="auto"/>
          <w:sz w:val="24"/>
        </w:rPr>
        <w:t>本响应文件的响应有效期限为开标后</w:t>
      </w:r>
      <w:r>
        <w:rPr>
          <w:rFonts w:asciiTheme="minorEastAsia" w:hAnsiTheme="minorEastAsia" w:eastAsiaTheme="minorEastAsia" w:cstheme="minorEastAsia"/>
          <w:color w:val="auto"/>
          <w:sz w:val="24"/>
        </w:rPr>
        <w:t>45</w:t>
      </w:r>
      <w:r>
        <w:rPr>
          <w:rFonts w:hint="eastAsia" w:asciiTheme="minorEastAsia" w:hAnsiTheme="minorEastAsia" w:eastAsiaTheme="minorEastAsia" w:cstheme="minorEastAsia"/>
          <w:color w:val="auto"/>
          <w:sz w:val="24"/>
        </w:rPr>
        <w:t>天。</w:t>
      </w:r>
    </w:p>
    <w:p>
      <w:pPr>
        <w:spacing w:line="400" w:lineRule="exact"/>
        <w:ind w:left="612" w:leftChars="63" w:hanging="480" w:hanging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4、我们愿意提供采购人在响应文件中要求的原始资料。</w:t>
      </w:r>
    </w:p>
    <w:p>
      <w:pPr>
        <w:spacing w:line="400" w:lineRule="exact"/>
        <w:ind w:left="693" w:hanging="561"/>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5、我们认为你们有权决定中标者。</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6、我方愿意遵守《中华人民共和国政府采购法》，并按《中华人民共和国合同法》、财政部《政府采购合同监督暂行办法》、财政部《政府采购货物和服务招标投标管理办法》合同条款履行自己的全部责任。</w:t>
      </w:r>
    </w:p>
    <w:p>
      <w:pPr>
        <w:tabs>
          <w:tab w:val="left" w:pos="315"/>
          <w:tab w:val="left" w:pos="525"/>
          <w:tab w:val="left" w:pos="945"/>
          <w:tab w:val="left" w:pos="1050"/>
        </w:tabs>
        <w:spacing w:line="400" w:lineRule="exact"/>
        <w:ind w:firstLine="360" w:firstLineChars="1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7、我们认可并遵守磋商文件（含磋商公告、变更公告、更正公告等）的所有规定。</w:t>
      </w:r>
    </w:p>
    <w:p>
      <w:pPr>
        <w:spacing w:line="400" w:lineRule="exact"/>
        <w:ind w:firstLine="480" w:firstLineChars="200"/>
        <w:rPr>
          <w:rFonts w:asciiTheme="minorEastAsia" w:hAnsiTheme="minorEastAsia" w:eastAsiaTheme="minorEastAsia" w:cstheme="minorEastAsia"/>
          <w:color w:val="auto"/>
          <w:sz w:val="24"/>
          <w:highlight w:val="yellow"/>
        </w:rPr>
      </w:pPr>
      <w:r>
        <w:rPr>
          <w:rFonts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rPr>
        <w:t>、提供下述响应文件正本一份：</w:t>
      </w:r>
    </w:p>
    <w:p>
      <w:pPr>
        <w:spacing w:line="400" w:lineRule="exact"/>
        <w:ind w:firstLine="480" w:firstLineChars="200"/>
        <w:rPr>
          <w:rFonts w:asciiTheme="minorEastAsia" w:hAnsiTheme="minorEastAsia" w:eastAsiaTheme="minorEastAsia" w:cstheme="minorEastAsia"/>
          <w:color w:val="auto"/>
          <w:sz w:val="24"/>
        </w:rPr>
      </w:pP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法定代表人或被授权人（签名或盖章）：</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                                       传真：</w:t>
      </w:r>
    </w:p>
    <w:p>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                                       邮编：</w:t>
      </w:r>
    </w:p>
    <w:p>
      <w:pPr>
        <w:spacing w:line="400" w:lineRule="exact"/>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开户名称：</w:t>
      </w:r>
    </w:p>
    <w:p>
      <w:pPr>
        <w:spacing w:line="400" w:lineRule="exact"/>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开户银行：                                   开户账号：</w:t>
      </w:r>
    </w:p>
    <w:p>
      <w:pPr>
        <w:spacing w:before="120" w:beforeLines="50" w:line="360" w:lineRule="auto"/>
        <w:jc w:val="left"/>
        <w:rPr>
          <w:rFonts w:asciiTheme="minorEastAsia" w:hAnsiTheme="minorEastAsia" w:eastAsiaTheme="minorEastAsia" w:cstheme="minorEastAsia"/>
          <w:b/>
          <w:color w:val="auto"/>
          <w:sz w:val="24"/>
        </w:rPr>
      </w:pPr>
    </w:p>
    <w:p>
      <w:pPr>
        <w:spacing w:before="120" w:beforeLines="50" w:line="360" w:lineRule="auto"/>
        <w:jc w:val="left"/>
        <w:rPr>
          <w:rFonts w:asciiTheme="minorEastAsia" w:hAnsiTheme="minorEastAsia" w:eastAsiaTheme="minorEastAsia" w:cstheme="minorEastAsia"/>
          <w:b/>
          <w:color w:val="auto"/>
          <w:sz w:val="24"/>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spacing w:before="120" w:beforeLines="50" w:line="360" w:lineRule="auto"/>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附件二</w:t>
      </w:r>
    </w:p>
    <w:p>
      <w:pPr>
        <w:spacing w:before="120" w:beforeLines="50"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法定代表人资格证明书</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            性别:        年龄:        职务:</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的法定代表人。为实施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的工作，签署上述项目的响应文件、进行磋商、签署合同和处理与之有关的一切事务。</w:t>
      </w: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pPr>
        <w:spacing w:before="120" w:beforeLines="50" w:line="360" w:lineRule="auto"/>
        <w:rPr>
          <w:rFonts w:asciiTheme="minorEastAsia" w:hAnsiTheme="minorEastAsia" w:eastAsiaTheme="minorEastAsia" w:cstheme="minorEastAsia"/>
          <w:color w:val="auto"/>
          <w:sz w:val="24"/>
        </w:rPr>
      </w:pP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供应商：（公章）</w:t>
      </w: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法定代表人签字或盖章：</w:t>
      </w:r>
    </w:p>
    <w:p>
      <w:pPr>
        <w:spacing w:before="120" w:beforeLines="50" w:line="360" w:lineRule="auto"/>
        <w:ind w:firstLine="6000" w:firstLineChars="25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法定代表人身份证</w:t>
      </w: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（复印件）粘贴处</w:t>
      </w:r>
    </w:p>
    <w:p>
      <w:pPr>
        <w:snapToGrid w:val="0"/>
        <w:spacing w:before="120" w:beforeLines="50" w:line="360" w:lineRule="auto"/>
        <w:rPr>
          <w:rFonts w:asciiTheme="minorEastAsia" w:hAnsiTheme="minorEastAsia" w:eastAsiaTheme="minorEastAsia" w:cstheme="minorEastAsia"/>
          <w:b/>
          <w:color w:val="auto"/>
          <w:sz w:val="24"/>
        </w:rPr>
      </w:pPr>
    </w:p>
    <w:p>
      <w:pPr>
        <w:snapToGrid w:val="0"/>
        <w:spacing w:before="120" w:beforeLines="50" w:line="360" w:lineRule="auto"/>
        <w:rPr>
          <w:rFonts w:asciiTheme="minorEastAsia" w:hAnsiTheme="minorEastAsia" w:eastAsiaTheme="minorEastAsia" w:cstheme="minorEastAsia"/>
          <w:b/>
          <w:color w:val="auto"/>
          <w:sz w:val="24"/>
        </w:rPr>
      </w:pPr>
    </w:p>
    <w:p>
      <w:pPr>
        <w:pStyle w:val="13"/>
        <w:rPr>
          <w:rFonts w:asciiTheme="minorEastAsia" w:hAnsiTheme="minorEastAsia" w:eastAsiaTheme="minorEastAsia" w:cstheme="minorEastAsia"/>
          <w:b/>
          <w:color w:val="auto"/>
          <w:sz w:val="24"/>
          <w:szCs w:val="24"/>
        </w:rPr>
      </w:pPr>
    </w:p>
    <w:p>
      <w:pPr>
        <w:pStyle w:val="13"/>
        <w:rPr>
          <w:rFonts w:asciiTheme="minorEastAsia" w:hAnsiTheme="minorEastAsia" w:eastAsiaTheme="minorEastAsia" w:cstheme="minorEastAsia"/>
          <w:b/>
          <w:color w:val="auto"/>
          <w:sz w:val="24"/>
          <w:szCs w:val="24"/>
        </w:rPr>
      </w:pPr>
    </w:p>
    <w:p>
      <w:pPr>
        <w:pStyle w:val="13"/>
        <w:rPr>
          <w:rFonts w:asciiTheme="minorEastAsia" w:hAnsiTheme="minorEastAsia" w:eastAsiaTheme="minorEastAsia" w:cstheme="minorEastAsia"/>
          <w:b/>
          <w:color w:val="auto"/>
          <w:sz w:val="24"/>
          <w:szCs w:val="24"/>
        </w:rPr>
      </w:pPr>
    </w:p>
    <w:p>
      <w:pPr>
        <w:pStyle w:val="13"/>
        <w:rPr>
          <w:rFonts w:asciiTheme="minorEastAsia" w:hAnsiTheme="minorEastAsia" w:eastAsiaTheme="minorEastAsia" w:cstheme="minorEastAsia"/>
          <w:b/>
          <w:color w:val="auto"/>
          <w:sz w:val="24"/>
          <w:szCs w:val="24"/>
        </w:rPr>
      </w:pPr>
    </w:p>
    <w:p>
      <w:pPr>
        <w:pStyle w:val="13"/>
        <w:rPr>
          <w:rFonts w:asciiTheme="minorEastAsia" w:hAnsiTheme="minorEastAsia" w:eastAsiaTheme="minorEastAsia" w:cstheme="minorEastAsia"/>
          <w:b/>
          <w:color w:val="auto"/>
          <w:sz w:val="24"/>
          <w:szCs w:val="24"/>
        </w:rPr>
      </w:pPr>
    </w:p>
    <w:p>
      <w:pPr>
        <w:pStyle w:val="4"/>
        <w:numPr>
          <w:ilvl w:val="0"/>
          <w:numId w:val="0"/>
        </w:numPr>
        <w:snapToGrid w:val="0"/>
        <w:spacing w:before="120" w:beforeLines="50" w:line="360" w:lineRule="auto"/>
        <w:rPr>
          <w:color w:val="auto"/>
        </w:rPr>
      </w:pPr>
    </w:p>
    <w:p>
      <w:pPr>
        <w:rPr>
          <w:color w:val="auto"/>
        </w:rPr>
      </w:pPr>
    </w:p>
    <w:p>
      <w:pPr>
        <w:pStyle w:val="13"/>
        <w:rPr>
          <w:color w:val="auto"/>
        </w:rPr>
      </w:pPr>
    </w:p>
    <w:p>
      <w:pPr>
        <w:spacing w:before="120" w:beforeLines="50" w:line="360" w:lineRule="auto"/>
        <w:jc w:val="center"/>
        <w:rPr>
          <w:rFonts w:asciiTheme="minorEastAsia" w:hAnsiTheme="minorEastAsia" w:eastAsiaTheme="minorEastAsia" w:cstheme="minorEastAsia"/>
          <w:b/>
          <w:color w:val="auto"/>
          <w:sz w:val="24"/>
        </w:rPr>
      </w:pPr>
      <w:bookmarkStart w:id="67" w:name="_Toc288738394"/>
      <w:bookmarkStart w:id="68" w:name="_Toc288738836"/>
    </w:p>
    <w:p>
      <w:pPr>
        <w:spacing w:before="120" w:beforeLines="50" w:line="360" w:lineRule="auto"/>
        <w:jc w:val="center"/>
        <w:rPr>
          <w:rFonts w:asciiTheme="minorEastAsia" w:hAnsiTheme="minorEastAsia" w:eastAsiaTheme="minorEastAsia" w:cstheme="minorEastAsia"/>
          <w:b/>
          <w:color w:val="auto"/>
          <w:sz w:val="24"/>
        </w:rPr>
      </w:pPr>
    </w:p>
    <w:p>
      <w:pPr>
        <w:spacing w:before="120" w:beforeLines="50"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授权委托书</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本授权委托书声明：___________________________（供应商名称）的___________（法定代表人姓名、职务）代表供应商授权_______（被授权人的姓名、职务）为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目竞争性磋商的合法代理人，全权负责参加本次政府采购项目的采购活动、签订合约以及与之相关的各项工作。本供应商对代理人的签名负全部责任。</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本授权书于__________年_______月________日签字生效，特此声明。</w:t>
      </w:r>
    </w:p>
    <w:p>
      <w:pPr>
        <w:pStyle w:val="13"/>
        <w:rPr>
          <w:color w:val="auto"/>
        </w:rPr>
      </w:pP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法定代表人签字或盖章：                   身份证号码：</w:t>
      </w: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    务：                               联系电话：</w:t>
      </w: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                               地址：</w:t>
      </w:r>
    </w:p>
    <w:p>
      <w:pPr>
        <w:spacing w:before="120" w:beforeLines="50"/>
        <w:rPr>
          <w:rFonts w:asciiTheme="minorEastAsia" w:hAnsiTheme="minorEastAsia" w:eastAsiaTheme="minorEastAsia" w:cstheme="minorEastAsia"/>
          <w:color w:val="auto"/>
          <w:sz w:val="24"/>
        </w:rPr>
      </w:pP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委托代理人签字或盖章：                   身份证号码：</w:t>
      </w: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    务：                               联系电话：</w:t>
      </w: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                               地址：</w:t>
      </w:r>
    </w:p>
    <w:p>
      <w:pPr>
        <w:spacing w:before="120" w:beforeLines="50"/>
        <w:rPr>
          <w:rFonts w:asciiTheme="minorEastAsia" w:hAnsiTheme="minorEastAsia" w:eastAsiaTheme="minorEastAsia" w:cstheme="minorEastAsia"/>
          <w:color w:val="auto"/>
          <w:sz w:val="24"/>
        </w:rPr>
      </w:pP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供应商公章： </w:t>
      </w: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                                 电话：</w:t>
      </w:r>
    </w:p>
    <w:p>
      <w:pPr>
        <w:spacing w:before="120" w:beforeLine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  真：                                 邮编：</w:t>
      </w: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代理人身份证</w:t>
      </w:r>
    </w:p>
    <w:p>
      <w:pPr>
        <w:spacing w:before="120"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（复印件）粘贴处</w:t>
      </w:r>
    </w:p>
    <w:p>
      <w:pPr>
        <w:spacing w:before="120"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1、法定代表人参加磋商会议时，提供法人资格证明和本人身份证原件。</w:t>
      </w:r>
    </w:p>
    <w:p>
      <w:pPr>
        <w:spacing w:before="120" w:beforeLines="50" w:line="360" w:lineRule="auto"/>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2、委托代理人参加磋商会议时，提供法人资格证明，授权委托书和本人身份证原件。</w:t>
      </w: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4"/>
        <w:numPr>
          <w:ilvl w:val="0"/>
          <w:numId w:val="0"/>
        </w:numPr>
        <w:snapToGrid w:val="0"/>
        <w:spacing w:before="120" w:beforeLines="50" w:line="360" w:lineRule="auto"/>
        <w:rPr>
          <w:rFonts w:asciiTheme="minorEastAsia" w:hAnsiTheme="minorEastAsia" w:eastAsiaTheme="minorEastAsia" w:cstheme="minorEastAsia"/>
          <w:b/>
          <w:bCs/>
          <w:color w:val="auto"/>
          <w:sz w:val="24"/>
          <w:szCs w:val="24"/>
        </w:rPr>
      </w:pPr>
    </w:p>
    <w:p>
      <w:pPr>
        <w:pStyle w:val="4"/>
        <w:numPr>
          <w:ilvl w:val="0"/>
          <w:numId w:val="0"/>
        </w:numPr>
        <w:snapToGrid w:val="0"/>
        <w:spacing w:before="120" w:beforeLines="50" w:line="360" w:lineRule="auto"/>
        <w:rPr>
          <w:rFonts w:asciiTheme="minorEastAsia" w:hAnsiTheme="minorEastAsia" w:eastAsiaTheme="minorEastAsia" w:cstheme="minorEastAsia"/>
          <w:b/>
          <w:bCs/>
          <w:color w:val="auto"/>
          <w:sz w:val="24"/>
          <w:szCs w:val="24"/>
        </w:rPr>
      </w:pPr>
    </w:p>
    <w:p>
      <w:pPr>
        <w:pStyle w:val="4"/>
        <w:numPr>
          <w:ilvl w:val="0"/>
          <w:numId w:val="0"/>
        </w:numPr>
        <w:snapToGrid w:val="0"/>
        <w:spacing w:before="120" w:beforeLines="50" w:line="360" w:lineRule="auto"/>
        <w:rPr>
          <w:rFonts w:ascii="宋体" w:hAnsi="宋体"/>
          <w:b/>
          <w:bCs/>
          <w:color w:val="auto"/>
          <w:sz w:val="24"/>
        </w:rPr>
      </w:pPr>
      <w:r>
        <w:rPr>
          <w:rFonts w:hint="eastAsia" w:asciiTheme="minorEastAsia" w:hAnsiTheme="minorEastAsia" w:eastAsiaTheme="minorEastAsia" w:cstheme="minorEastAsia"/>
          <w:b/>
          <w:bCs/>
          <w:color w:val="auto"/>
          <w:sz w:val="24"/>
          <w:szCs w:val="24"/>
        </w:rPr>
        <w:t>附件三：</w:t>
      </w:r>
      <w:bookmarkEnd w:id="67"/>
      <w:bookmarkEnd w:id="68"/>
      <w:bookmarkStart w:id="69" w:name="_Toc288738395"/>
      <w:bookmarkStart w:id="70" w:name="_Toc288738837"/>
    </w:p>
    <w:p>
      <w:pPr>
        <w:spacing w:line="360" w:lineRule="auto"/>
        <w:jc w:val="center"/>
        <w:rPr>
          <w:rFonts w:ascii="宋体" w:hAnsi="宋体"/>
          <w:b/>
          <w:bCs/>
          <w:color w:val="auto"/>
          <w:sz w:val="24"/>
        </w:rPr>
      </w:pPr>
      <w:r>
        <w:rPr>
          <w:rFonts w:hint="eastAsia" w:ascii="宋体" w:hAnsi="宋体"/>
          <w:b/>
          <w:bCs/>
          <w:color w:val="auto"/>
          <w:sz w:val="24"/>
        </w:rPr>
        <w:t>开标一览表</w:t>
      </w:r>
    </w:p>
    <w:tbl>
      <w:tblPr>
        <w:tblStyle w:val="14"/>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color w:val="auto"/>
                <w:szCs w:val="21"/>
              </w:rPr>
            </w:pPr>
            <w:r>
              <w:rPr>
                <w:rFonts w:hint="eastAsia" w:ascii="宋体" w:hAnsi="宋体"/>
                <w:b/>
                <w:bCs/>
                <w:color w:val="auto"/>
                <w:szCs w:val="21"/>
              </w:rPr>
              <w:t xml:space="preserve">     项目</w:t>
            </w:r>
          </w:p>
          <w:p>
            <w:pPr>
              <w:topLinePunct/>
              <w:spacing w:line="360" w:lineRule="exact"/>
              <w:rPr>
                <w:rFonts w:ascii="宋体" w:hAnsi="宋体"/>
                <w:b/>
                <w:bCs/>
                <w:color w:val="auto"/>
                <w:szCs w:val="21"/>
              </w:rPr>
            </w:pPr>
          </w:p>
          <w:p>
            <w:pPr>
              <w:topLinePunct/>
              <w:spacing w:line="360" w:lineRule="exact"/>
              <w:rPr>
                <w:rFonts w:ascii="宋体" w:hAnsi="宋体"/>
                <w:b/>
                <w:bCs/>
                <w:color w:val="auto"/>
                <w:szCs w:val="21"/>
              </w:rPr>
            </w:pPr>
            <w:r>
              <w:rPr>
                <w:rFonts w:hint="eastAsia" w:ascii="宋体" w:hAnsi="宋体"/>
                <w:b/>
                <w:bCs/>
                <w:color w:val="auto"/>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color w:val="auto"/>
                <w:szCs w:val="21"/>
              </w:rPr>
            </w:pPr>
            <w:r>
              <w:rPr>
                <w:rFonts w:hint="eastAsia" w:ascii="宋体" w:hAnsi="宋体"/>
                <w:b/>
                <w:bCs/>
                <w:color w:val="auto"/>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color w:val="auto"/>
                <w:szCs w:val="21"/>
              </w:rPr>
            </w:pPr>
            <w:r>
              <w:rPr>
                <w:rFonts w:hint="eastAsia" w:ascii="宋体" w:hAnsi="宋体"/>
                <w:b/>
                <w:bCs/>
                <w:color w:val="auto"/>
                <w:szCs w:val="21"/>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color w:val="auto"/>
                <w:szCs w:val="21"/>
              </w:rPr>
            </w:pPr>
            <w:r>
              <w:rPr>
                <w:rFonts w:hint="eastAsia" w:ascii="宋体" w:hAnsi="宋体"/>
                <w:b/>
                <w:bCs/>
                <w:color w:val="auto"/>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hint="eastAsia" w:ascii="宋体" w:hAnsi="宋体"/>
                <w:color w:val="auto"/>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hint="eastAsia" w:ascii="宋体" w:hAnsi="宋体"/>
                <w:color w:val="auto"/>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color w:val="auto"/>
                <w:szCs w:val="21"/>
              </w:rPr>
            </w:pPr>
          </w:p>
          <w:p>
            <w:pPr>
              <w:topLinePunct/>
              <w:spacing w:line="360" w:lineRule="exact"/>
              <w:rPr>
                <w:rFonts w:ascii="宋体" w:hAnsi="宋体"/>
                <w:color w:val="auto"/>
                <w:szCs w:val="21"/>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ascii="宋体" w:hAnsi="宋体"/>
                <w:color w:val="auto"/>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hint="eastAsia" w:ascii="宋体" w:hAnsi="宋体"/>
                <w:color w:val="auto"/>
                <w:szCs w:val="21"/>
              </w:rPr>
              <w:t>工  期</w:t>
            </w:r>
          </w:p>
          <w:p>
            <w:pPr>
              <w:topLinePunct/>
              <w:spacing w:line="360" w:lineRule="exact"/>
              <w:jc w:val="center"/>
              <w:rPr>
                <w:rFonts w:ascii="宋体" w:hAnsi="宋体"/>
                <w:color w:val="auto"/>
                <w:szCs w:val="21"/>
              </w:rPr>
            </w:pPr>
            <w:r>
              <w:rPr>
                <w:rFonts w:hint="eastAsia" w:ascii="宋体" w:hAnsi="宋体"/>
                <w:color w:val="auto"/>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color w:val="auto"/>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ascii="宋体" w:hAnsi="宋体"/>
                <w:color w:val="auto"/>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hint="eastAsia" w:ascii="宋体" w:hAnsi="宋体"/>
                <w:color w:val="auto"/>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color w:val="auto"/>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ascii="宋体" w:hAnsi="宋体"/>
                <w:color w:val="auto"/>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color w:val="auto"/>
                <w:szCs w:val="21"/>
              </w:rPr>
            </w:pPr>
            <w:r>
              <w:rPr>
                <w:rFonts w:hint="eastAsia" w:ascii="宋体" w:hAnsi="宋体"/>
                <w:color w:val="auto"/>
                <w:szCs w:val="21"/>
              </w:rPr>
              <w:t>投 标 报 价</w:t>
            </w:r>
          </w:p>
          <w:p>
            <w:pPr>
              <w:topLinePunct/>
              <w:spacing w:line="360" w:lineRule="exact"/>
              <w:jc w:val="center"/>
              <w:rPr>
                <w:rFonts w:ascii="宋体" w:hAnsi="宋体"/>
                <w:color w:val="auto"/>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color w:val="auto"/>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color w:val="auto"/>
                <w:szCs w:val="21"/>
              </w:rPr>
            </w:pPr>
            <w:r>
              <w:rPr>
                <w:rFonts w:ascii="宋体" w:hAnsi="宋体"/>
                <w:color w:val="auto"/>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color w:val="auto"/>
                <w:szCs w:val="21"/>
              </w:rPr>
            </w:pPr>
            <w:r>
              <w:rPr>
                <w:rFonts w:hint="eastAsia" w:ascii="宋体" w:hAnsi="宋体"/>
                <w:color w:val="auto"/>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color w:val="auto"/>
                <w:szCs w:val="21"/>
              </w:rPr>
            </w:pPr>
            <w:r>
              <w:rPr>
                <w:rFonts w:hint="eastAsia" w:ascii="宋体" w:hAnsi="宋体" w:cs="宋体"/>
                <w:bCs/>
                <w:color w:val="auto"/>
                <w:sz w:val="20"/>
                <w:szCs w:val="20"/>
              </w:rPr>
              <w:t>投标费率高于该招标控制费率的作为无效投标处理；</w:t>
            </w:r>
            <w:r>
              <w:rPr>
                <w:rFonts w:hint="eastAsia" w:ascii="宋体" w:hAnsi="宋体"/>
                <w:bCs/>
                <w:color w:val="auto"/>
                <w:sz w:val="20"/>
                <w:szCs w:val="20"/>
              </w:rPr>
              <w:t>材料价参照施工期间信息价进行编制，如无信息价则由施工单位、建设单位、审计单位、监理单位四方市场询价，协商后计入结算文件（询价材料不计下浮）。</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color w:val="auto"/>
                <w:szCs w:val="21"/>
              </w:rPr>
            </w:pPr>
          </w:p>
        </w:tc>
      </w:tr>
    </w:tbl>
    <w:p>
      <w:pPr>
        <w:spacing w:line="360" w:lineRule="auto"/>
        <w:rPr>
          <w:rFonts w:ascii="宋体" w:hAnsi="宋体"/>
          <w:b/>
          <w:color w:val="auto"/>
          <w:sz w:val="24"/>
        </w:rPr>
      </w:pPr>
    </w:p>
    <w:p>
      <w:pPr>
        <w:spacing w:line="360" w:lineRule="auto"/>
        <w:rPr>
          <w:rFonts w:ascii="宋体" w:hAnsi="宋体" w:cs="宋体"/>
          <w:color w:val="auto"/>
          <w:sz w:val="24"/>
        </w:rPr>
      </w:pPr>
      <w:r>
        <w:rPr>
          <w:rFonts w:hint="eastAsia" w:ascii="宋体" w:hAnsi="宋体" w:cs="宋体"/>
          <w:color w:val="auto"/>
          <w:sz w:val="24"/>
        </w:rPr>
        <w:t>供应商</w:t>
      </w:r>
      <w:r>
        <w:rPr>
          <w:rFonts w:hint="eastAsia" w:ascii="宋体" w:hAnsi="宋体"/>
          <w:color w:val="auto"/>
          <w:sz w:val="24"/>
        </w:rPr>
        <w:t>名称（公章）：</w:t>
      </w:r>
    </w:p>
    <w:p>
      <w:pPr>
        <w:spacing w:line="360" w:lineRule="auto"/>
        <w:rPr>
          <w:rFonts w:ascii="宋体" w:hAnsi="宋体" w:cs="宋体"/>
          <w:color w:val="auto"/>
          <w:sz w:val="24"/>
        </w:rPr>
      </w:pPr>
      <w:r>
        <w:rPr>
          <w:rFonts w:hint="eastAsia" w:ascii="宋体" w:hAnsi="宋体" w:cs="宋体"/>
          <w:color w:val="auto"/>
          <w:sz w:val="24"/>
        </w:rPr>
        <w:t>法定代表人或代理人（签字或盖章）：</w:t>
      </w:r>
    </w:p>
    <w:p>
      <w:pPr>
        <w:spacing w:line="360" w:lineRule="auto"/>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ind w:firstLine="480" w:firstLineChars="200"/>
        <w:rPr>
          <w:rFonts w:ascii="宋体" w:hAnsi="宋体"/>
          <w:b/>
          <w:color w:val="auto"/>
          <w:sz w:val="24"/>
        </w:rPr>
        <w:sectPr>
          <w:headerReference r:id="rId12" w:type="first"/>
          <w:footerReference r:id="rId13" w:type="first"/>
          <w:headerReference r:id="rId11" w:type="default"/>
          <w:pgSz w:w="11906" w:h="16838"/>
          <w:pgMar w:top="1440" w:right="1418" w:bottom="1440" w:left="1559" w:header="851" w:footer="992" w:gutter="0"/>
          <w:cols w:space="720" w:num="1"/>
          <w:titlePg/>
          <w:docGrid w:linePitch="312" w:charSpace="0"/>
        </w:sectPr>
      </w:pPr>
      <w:r>
        <w:rPr>
          <w:rFonts w:hint="eastAsia" w:ascii="宋体" w:hAnsi="宋体" w:cs="宋体"/>
          <w:color w:val="auto"/>
          <w:sz w:val="24"/>
        </w:rPr>
        <w:t>注：1、如供应商的最终报价明显低于成本价,涉嫌恶意竞争,扰乱市场秩序的，供应商将自行承担由此而产生的任何法律责任。采购代理机构对此不承担任何责任。</w:t>
      </w:r>
    </w:p>
    <w:p>
      <w:pPr>
        <w:pStyle w:val="4"/>
        <w:numPr>
          <w:ilvl w:val="0"/>
          <w:numId w:val="0"/>
        </w:numPr>
        <w:snapToGrid w:val="0"/>
        <w:spacing w:before="156" w:beforeLines="50"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附件四：</w:t>
      </w:r>
      <w:bookmarkEnd w:id="69"/>
      <w:bookmarkEnd w:id="70"/>
      <w:bookmarkStart w:id="71" w:name="_Toc288738838"/>
      <w:bookmarkStart w:id="72" w:name="_Toc288738396"/>
    </w:p>
    <w:p>
      <w:pPr>
        <w:spacing w:before="156" w:beforeLines="50"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分项报价表</w:t>
      </w:r>
    </w:p>
    <w:p>
      <w:pPr>
        <w:snapToGrid w:val="0"/>
        <w:spacing w:before="156" w:beforeLines="50" w:line="360" w:lineRule="auto"/>
        <w:jc w:val="center"/>
        <w:rPr>
          <w:rFonts w:asciiTheme="minorEastAsia" w:hAnsiTheme="minorEastAsia" w:eastAsiaTheme="minorEastAsia" w:cstheme="minorEastAsia"/>
          <w:color w:val="auto"/>
          <w:sz w:val="24"/>
        </w:rPr>
      </w:pPr>
    </w:p>
    <w:p>
      <w:pPr>
        <w:snapToGrid w:val="0"/>
        <w:spacing w:before="156" w:beforeLines="50" w:line="360" w:lineRule="auto"/>
        <w:rPr>
          <w:rFonts w:ascii="宋体" w:hAnsi="宋体" w:cs="宋体"/>
          <w:color w:val="auto"/>
          <w:szCs w:val="21"/>
        </w:rPr>
      </w:pP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tbl>
      <w:tblPr>
        <w:tblStyle w:val="14"/>
        <w:tblW w:w="7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color w:val="auto"/>
                <w:kern w:val="0"/>
                <w:szCs w:val="21"/>
              </w:rPr>
            </w:pPr>
            <w:r>
              <w:rPr>
                <w:rFonts w:hint="eastAsia" w:ascii="宋体" w:hAnsi="宋体" w:cs="宋体"/>
                <w:b/>
                <w:bCs/>
                <w:color w:val="auto"/>
                <w:kern w:val="0"/>
                <w:sz w:val="18"/>
                <w:szCs w:val="18"/>
                <w:lang w:bidi="ar"/>
              </w:rPr>
              <w:t>序号</w:t>
            </w:r>
          </w:p>
        </w:tc>
        <w:tc>
          <w:tcPr>
            <w:tcW w:w="1146" w:type="dxa"/>
            <w:vMerge w:val="restart"/>
            <w:vAlign w:val="center"/>
          </w:tcPr>
          <w:p>
            <w:pPr>
              <w:widowControl/>
              <w:jc w:val="center"/>
              <w:textAlignment w:val="center"/>
              <w:rPr>
                <w:rFonts w:ascii="宋体" w:hAnsi="宋体" w:cs="Arial"/>
                <w:color w:val="auto"/>
                <w:kern w:val="0"/>
                <w:szCs w:val="21"/>
              </w:rPr>
            </w:pPr>
            <w:r>
              <w:rPr>
                <w:rFonts w:hint="eastAsia" w:ascii="宋体" w:hAnsi="宋体" w:cs="宋体"/>
                <w:b/>
                <w:bCs/>
                <w:color w:val="auto"/>
                <w:kern w:val="0"/>
                <w:sz w:val="18"/>
                <w:szCs w:val="18"/>
                <w:lang w:bidi="ar"/>
              </w:rPr>
              <w:t>项目名称</w:t>
            </w:r>
          </w:p>
        </w:tc>
        <w:tc>
          <w:tcPr>
            <w:tcW w:w="751" w:type="dxa"/>
            <w:vMerge w:val="restart"/>
            <w:vAlign w:val="center"/>
          </w:tcPr>
          <w:p>
            <w:pPr>
              <w:widowControl/>
              <w:jc w:val="center"/>
              <w:textAlignment w:val="center"/>
              <w:rPr>
                <w:rFonts w:ascii="宋体" w:hAnsi="宋体" w:cs="Arial"/>
                <w:color w:val="auto"/>
                <w:kern w:val="0"/>
                <w:szCs w:val="21"/>
              </w:rPr>
            </w:pPr>
            <w:r>
              <w:rPr>
                <w:rFonts w:hint="eastAsia" w:ascii="宋体" w:hAnsi="宋体" w:cs="宋体"/>
                <w:b/>
                <w:bCs/>
                <w:color w:val="auto"/>
                <w:kern w:val="0"/>
                <w:sz w:val="18"/>
                <w:szCs w:val="18"/>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color w:val="auto"/>
                <w:kern w:val="0"/>
                <w:szCs w:val="21"/>
              </w:rPr>
            </w:pPr>
            <w:r>
              <w:rPr>
                <w:rFonts w:hint="eastAsia" w:ascii="宋体" w:hAnsi="宋体" w:cs="宋体"/>
                <w:b/>
                <w:bCs/>
                <w:color w:val="auto"/>
                <w:kern w:val="0"/>
                <w:sz w:val="18"/>
                <w:szCs w:val="18"/>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color w:val="auto"/>
                <w:kern w:val="0"/>
                <w:szCs w:val="21"/>
              </w:rPr>
            </w:pPr>
            <w:r>
              <w:rPr>
                <w:rFonts w:hint="eastAsia" w:ascii="宋体" w:hAnsi="宋体" w:cs="宋体"/>
                <w:b/>
                <w:bCs/>
                <w:color w:val="auto"/>
                <w:kern w:val="0"/>
                <w:sz w:val="18"/>
                <w:szCs w:val="18"/>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1146" w:type="dxa"/>
            <w:vMerge w:val="continue"/>
            <w:vAlign w:val="center"/>
          </w:tcPr>
          <w:p>
            <w:pPr>
              <w:widowControl/>
              <w:snapToGrid w:val="0"/>
              <w:spacing w:line="360" w:lineRule="auto"/>
              <w:jc w:val="center"/>
              <w:rPr>
                <w:rFonts w:ascii="宋体" w:hAnsi="宋体" w:cs="Arial"/>
                <w:color w:val="auto"/>
                <w:kern w:val="0"/>
                <w:szCs w:val="21"/>
              </w:rPr>
            </w:pPr>
          </w:p>
        </w:tc>
        <w:tc>
          <w:tcPr>
            <w:tcW w:w="751" w:type="dxa"/>
            <w:vMerge w:val="continue"/>
            <w:vAlign w:val="center"/>
          </w:tcPr>
          <w:p>
            <w:pPr>
              <w:widowControl/>
              <w:snapToGrid w:val="0"/>
              <w:spacing w:line="360" w:lineRule="auto"/>
              <w:jc w:val="center"/>
              <w:rPr>
                <w:rFonts w:ascii="宋体" w:hAnsi="宋体" w:cs="Arial"/>
                <w:color w:val="auto"/>
                <w:kern w:val="0"/>
                <w:szCs w:val="21"/>
              </w:rPr>
            </w:pPr>
          </w:p>
        </w:tc>
        <w:tc>
          <w:tcPr>
            <w:tcW w:w="1192" w:type="dxa"/>
            <w:vMerge w:val="continue"/>
            <w:vAlign w:val="center"/>
          </w:tcPr>
          <w:p>
            <w:pPr>
              <w:widowControl/>
              <w:snapToGrid w:val="0"/>
              <w:spacing w:line="360" w:lineRule="auto"/>
              <w:jc w:val="center"/>
              <w:rPr>
                <w:rFonts w:ascii="宋体" w:hAnsi="宋体" w:cs="Arial"/>
                <w:color w:val="auto"/>
                <w:kern w:val="0"/>
                <w:szCs w:val="21"/>
              </w:rPr>
            </w:pPr>
          </w:p>
        </w:tc>
        <w:tc>
          <w:tcPr>
            <w:tcW w:w="1225" w:type="dxa"/>
            <w:tcBorders>
              <w:top w:val="single" w:color="auto" w:sz="4" w:space="0"/>
            </w:tcBorders>
            <w:vAlign w:val="center"/>
          </w:tcPr>
          <w:p>
            <w:pPr>
              <w:widowControl/>
              <w:jc w:val="center"/>
              <w:textAlignment w:val="center"/>
              <w:rPr>
                <w:rFonts w:ascii="宋体" w:hAnsi="宋体" w:cs="宋体"/>
                <w:b/>
                <w:bCs/>
                <w:color w:val="auto"/>
                <w:sz w:val="18"/>
                <w:szCs w:val="18"/>
              </w:rPr>
            </w:pPr>
            <w:r>
              <w:rPr>
                <w:rFonts w:hint="eastAsia" w:ascii="宋体" w:hAnsi="宋体" w:cs="宋体"/>
                <w:b/>
                <w:bCs/>
                <w:color w:val="auto"/>
                <w:kern w:val="0"/>
                <w:sz w:val="18"/>
                <w:szCs w:val="18"/>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color w:val="auto"/>
                <w:kern w:val="0"/>
                <w:szCs w:val="21"/>
              </w:rPr>
            </w:pPr>
            <w:r>
              <w:rPr>
                <w:rFonts w:hint="eastAsia" w:ascii="宋体" w:hAnsi="宋体" w:cs="Arial"/>
                <w:b/>
                <w:bCs/>
                <w:color w:val="auto"/>
                <w:kern w:val="0"/>
                <w:szCs w:val="21"/>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color w:val="auto"/>
                <w:kern w:val="0"/>
                <w:szCs w:val="21"/>
              </w:rPr>
            </w:pPr>
            <w:r>
              <w:rPr>
                <w:rFonts w:hint="eastAsia" w:ascii="宋体" w:hAnsi="宋体" w:cs="Arial"/>
                <w:b/>
                <w:bCs/>
                <w:color w:val="auto"/>
                <w:kern w:val="0"/>
                <w:szCs w:val="21"/>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1146" w:type="dxa"/>
            <w:vAlign w:val="center"/>
          </w:tcPr>
          <w:p>
            <w:pPr>
              <w:widowControl/>
              <w:snapToGrid w:val="0"/>
              <w:spacing w:line="360" w:lineRule="auto"/>
              <w:jc w:val="center"/>
              <w:rPr>
                <w:rFonts w:ascii="宋体" w:hAnsi="宋体" w:cs="Arial"/>
                <w:color w:val="auto"/>
                <w:kern w:val="0"/>
                <w:szCs w:val="21"/>
              </w:rPr>
            </w:pPr>
          </w:p>
        </w:tc>
        <w:tc>
          <w:tcPr>
            <w:tcW w:w="751" w:type="dxa"/>
            <w:vAlign w:val="center"/>
          </w:tcPr>
          <w:p>
            <w:pPr>
              <w:widowControl/>
              <w:snapToGrid w:val="0"/>
              <w:spacing w:line="360" w:lineRule="auto"/>
              <w:jc w:val="center"/>
              <w:rPr>
                <w:rFonts w:ascii="宋体" w:hAnsi="宋体" w:cs="Arial"/>
                <w:color w:val="auto"/>
                <w:kern w:val="0"/>
                <w:szCs w:val="21"/>
              </w:rPr>
            </w:pPr>
          </w:p>
        </w:tc>
        <w:tc>
          <w:tcPr>
            <w:tcW w:w="1192" w:type="dxa"/>
            <w:vAlign w:val="center"/>
          </w:tcPr>
          <w:p>
            <w:pPr>
              <w:widowControl/>
              <w:snapToGrid w:val="0"/>
              <w:spacing w:line="360" w:lineRule="auto"/>
              <w:jc w:val="center"/>
              <w:rPr>
                <w:rFonts w:ascii="宋体" w:hAnsi="宋体" w:cs="Arial"/>
                <w:color w:val="auto"/>
                <w:kern w:val="0"/>
                <w:szCs w:val="21"/>
              </w:rPr>
            </w:pPr>
          </w:p>
        </w:tc>
        <w:tc>
          <w:tcPr>
            <w:tcW w:w="1225"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561"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1146" w:type="dxa"/>
            <w:vAlign w:val="center"/>
          </w:tcPr>
          <w:p>
            <w:pPr>
              <w:widowControl/>
              <w:snapToGrid w:val="0"/>
              <w:spacing w:line="360" w:lineRule="auto"/>
              <w:jc w:val="center"/>
              <w:rPr>
                <w:rFonts w:ascii="宋体" w:hAnsi="宋体" w:cs="Arial"/>
                <w:color w:val="auto"/>
                <w:kern w:val="0"/>
                <w:szCs w:val="21"/>
              </w:rPr>
            </w:pPr>
          </w:p>
        </w:tc>
        <w:tc>
          <w:tcPr>
            <w:tcW w:w="751" w:type="dxa"/>
            <w:vAlign w:val="center"/>
          </w:tcPr>
          <w:p>
            <w:pPr>
              <w:widowControl/>
              <w:snapToGrid w:val="0"/>
              <w:spacing w:line="360" w:lineRule="auto"/>
              <w:jc w:val="center"/>
              <w:rPr>
                <w:rFonts w:ascii="宋体" w:hAnsi="宋体" w:cs="Arial"/>
                <w:color w:val="auto"/>
                <w:kern w:val="0"/>
                <w:szCs w:val="21"/>
              </w:rPr>
            </w:pPr>
          </w:p>
        </w:tc>
        <w:tc>
          <w:tcPr>
            <w:tcW w:w="1192" w:type="dxa"/>
            <w:vAlign w:val="center"/>
          </w:tcPr>
          <w:p>
            <w:pPr>
              <w:widowControl/>
              <w:snapToGrid w:val="0"/>
              <w:spacing w:line="360" w:lineRule="auto"/>
              <w:jc w:val="center"/>
              <w:rPr>
                <w:rFonts w:ascii="宋体" w:hAnsi="宋体" w:cs="Arial"/>
                <w:color w:val="auto"/>
                <w:kern w:val="0"/>
                <w:szCs w:val="21"/>
              </w:rPr>
            </w:pPr>
          </w:p>
        </w:tc>
        <w:tc>
          <w:tcPr>
            <w:tcW w:w="1225"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561"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1146" w:type="dxa"/>
            <w:vAlign w:val="center"/>
          </w:tcPr>
          <w:p>
            <w:pPr>
              <w:widowControl/>
              <w:snapToGrid w:val="0"/>
              <w:spacing w:line="360" w:lineRule="auto"/>
              <w:jc w:val="center"/>
              <w:rPr>
                <w:rFonts w:ascii="宋体" w:hAnsi="宋体" w:cs="Arial"/>
                <w:color w:val="auto"/>
                <w:kern w:val="0"/>
                <w:szCs w:val="21"/>
              </w:rPr>
            </w:pPr>
          </w:p>
        </w:tc>
        <w:tc>
          <w:tcPr>
            <w:tcW w:w="751" w:type="dxa"/>
            <w:vAlign w:val="center"/>
          </w:tcPr>
          <w:p>
            <w:pPr>
              <w:widowControl/>
              <w:snapToGrid w:val="0"/>
              <w:spacing w:line="360" w:lineRule="auto"/>
              <w:jc w:val="center"/>
              <w:rPr>
                <w:rFonts w:ascii="宋体" w:hAnsi="宋体" w:cs="Arial"/>
                <w:color w:val="auto"/>
                <w:kern w:val="0"/>
                <w:szCs w:val="21"/>
              </w:rPr>
            </w:pPr>
          </w:p>
        </w:tc>
        <w:tc>
          <w:tcPr>
            <w:tcW w:w="1192" w:type="dxa"/>
            <w:vAlign w:val="center"/>
          </w:tcPr>
          <w:p>
            <w:pPr>
              <w:widowControl/>
              <w:snapToGrid w:val="0"/>
              <w:spacing w:line="360" w:lineRule="auto"/>
              <w:jc w:val="center"/>
              <w:rPr>
                <w:rFonts w:ascii="宋体" w:hAnsi="宋体" w:cs="Arial"/>
                <w:color w:val="auto"/>
                <w:kern w:val="0"/>
                <w:szCs w:val="21"/>
              </w:rPr>
            </w:pPr>
          </w:p>
        </w:tc>
        <w:tc>
          <w:tcPr>
            <w:tcW w:w="1225"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561"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4</w:t>
            </w:r>
          </w:p>
        </w:tc>
        <w:tc>
          <w:tcPr>
            <w:tcW w:w="1146" w:type="dxa"/>
            <w:vAlign w:val="center"/>
          </w:tcPr>
          <w:p>
            <w:pPr>
              <w:widowControl/>
              <w:snapToGrid w:val="0"/>
              <w:spacing w:line="360" w:lineRule="auto"/>
              <w:jc w:val="center"/>
              <w:rPr>
                <w:rFonts w:ascii="宋体" w:hAnsi="宋体" w:cs="Arial"/>
                <w:color w:val="auto"/>
                <w:kern w:val="0"/>
                <w:szCs w:val="21"/>
              </w:rPr>
            </w:pPr>
          </w:p>
        </w:tc>
        <w:tc>
          <w:tcPr>
            <w:tcW w:w="751" w:type="dxa"/>
            <w:vAlign w:val="center"/>
          </w:tcPr>
          <w:p>
            <w:pPr>
              <w:widowControl/>
              <w:snapToGrid w:val="0"/>
              <w:spacing w:line="360" w:lineRule="auto"/>
              <w:jc w:val="center"/>
              <w:rPr>
                <w:rFonts w:ascii="宋体" w:hAnsi="宋体" w:cs="Arial"/>
                <w:color w:val="auto"/>
                <w:kern w:val="0"/>
                <w:szCs w:val="21"/>
              </w:rPr>
            </w:pPr>
          </w:p>
        </w:tc>
        <w:tc>
          <w:tcPr>
            <w:tcW w:w="1192" w:type="dxa"/>
            <w:vAlign w:val="center"/>
          </w:tcPr>
          <w:p>
            <w:pPr>
              <w:widowControl/>
              <w:snapToGrid w:val="0"/>
              <w:spacing w:line="360" w:lineRule="auto"/>
              <w:jc w:val="center"/>
              <w:rPr>
                <w:rFonts w:ascii="宋体" w:hAnsi="宋体" w:cs="Arial"/>
                <w:color w:val="auto"/>
                <w:kern w:val="0"/>
                <w:szCs w:val="21"/>
              </w:rPr>
            </w:pPr>
          </w:p>
        </w:tc>
        <w:tc>
          <w:tcPr>
            <w:tcW w:w="1225"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561"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5</w:t>
            </w:r>
          </w:p>
        </w:tc>
        <w:tc>
          <w:tcPr>
            <w:tcW w:w="1146" w:type="dxa"/>
            <w:vAlign w:val="center"/>
          </w:tcPr>
          <w:p>
            <w:pPr>
              <w:widowControl/>
              <w:snapToGrid w:val="0"/>
              <w:spacing w:line="360" w:lineRule="auto"/>
              <w:jc w:val="center"/>
              <w:rPr>
                <w:rFonts w:ascii="宋体" w:hAnsi="宋体" w:cs="Arial"/>
                <w:color w:val="auto"/>
                <w:kern w:val="0"/>
                <w:szCs w:val="21"/>
              </w:rPr>
            </w:pPr>
          </w:p>
        </w:tc>
        <w:tc>
          <w:tcPr>
            <w:tcW w:w="751" w:type="dxa"/>
            <w:vAlign w:val="center"/>
          </w:tcPr>
          <w:p>
            <w:pPr>
              <w:widowControl/>
              <w:snapToGrid w:val="0"/>
              <w:spacing w:line="360" w:lineRule="auto"/>
              <w:jc w:val="center"/>
              <w:rPr>
                <w:rFonts w:ascii="宋体" w:hAnsi="宋体" w:cs="Arial"/>
                <w:color w:val="auto"/>
                <w:kern w:val="0"/>
                <w:szCs w:val="21"/>
              </w:rPr>
            </w:pPr>
          </w:p>
        </w:tc>
        <w:tc>
          <w:tcPr>
            <w:tcW w:w="1192" w:type="dxa"/>
            <w:vAlign w:val="center"/>
          </w:tcPr>
          <w:p>
            <w:pPr>
              <w:widowControl/>
              <w:snapToGrid w:val="0"/>
              <w:spacing w:line="360" w:lineRule="auto"/>
              <w:jc w:val="center"/>
              <w:rPr>
                <w:rFonts w:ascii="宋体" w:hAnsi="宋体" w:cs="Arial"/>
                <w:color w:val="auto"/>
                <w:kern w:val="0"/>
                <w:szCs w:val="21"/>
              </w:rPr>
            </w:pPr>
          </w:p>
        </w:tc>
        <w:tc>
          <w:tcPr>
            <w:tcW w:w="1225"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561"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1146" w:type="dxa"/>
            <w:vAlign w:val="center"/>
          </w:tcPr>
          <w:p>
            <w:pPr>
              <w:widowControl/>
              <w:snapToGrid w:val="0"/>
              <w:spacing w:line="360" w:lineRule="auto"/>
              <w:jc w:val="center"/>
              <w:rPr>
                <w:rFonts w:ascii="宋体" w:hAnsi="宋体" w:cs="Arial"/>
                <w:color w:val="auto"/>
                <w:kern w:val="0"/>
                <w:szCs w:val="21"/>
              </w:rPr>
            </w:pPr>
          </w:p>
        </w:tc>
        <w:tc>
          <w:tcPr>
            <w:tcW w:w="751" w:type="dxa"/>
            <w:vAlign w:val="center"/>
          </w:tcPr>
          <w:p>
            <w:pPr>
              <w:widowControl/>
              <w:snapToGrid w:val="0"/>
              <w:spacing w:line="360" w:lineRule="auto"/>
              <w:jc w:val="center"/>
              <w:rPr>
                <w:rFonts w:ascii="宋体" w:hAnsi="宋体" w:cs="Arial"/>
                <w:color w:val="auto"/>
                <w:kern w:val="0"/>
                <w:szCs w:val="21"/>
              </w:rPr>
            </w:pPr>
          </w:p>
        </w:tc>
        <w:tc>
          <w:tcPr>
            <w:tcW w:w="1192" w:type="dxa"/>
            <w:vAlign w:val="center"/>
          </w:tcPr>
          <w:p>
            <w:pPr>
              <w:widowControl/>
              <w:snapToGrid w:val="0"/>
              <w:spacing w:line="360" w:lineRule="auto"/>
              <w:jc w:val="center"/>
              <w:rPr>
                <w:rFonts w:ascii="宋体" w:hAnsi="宋体" w:cs="Arial"/>
                <w:color w:val="auto"/>
                <w:kern w:val="0"/>
                <w:szCs w:val="21"/>
              </w:rPr>
            </w:pPr>
          </w:p>
        </w:tc>
        <w:tc>
          <w:tcPr>
            <w:tcW w:w="1225"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561" w:type="dxa"/>
            <w:vAlign w:val="center"/>
          </w:tcPr>
          <w:p>
            <w:pPr>
              <w:widowControl/>
              <w:snapToGrid w:val="0"/>
              <w:spacing w:line="360" w:lineRule="auto"/>
              <w:jc w:val="center"/>
              <w:rPr>
                <w:rFonts w:ascii="宋体" w:hAnsi="宋体" w:cs="Arial"/>
                <w:color w:val="auto"/>
                <w:kern w:val="0"/>
                <w:szCs w:val="21"/>
              </w:rPr>
            </w:pPr>
          </w:p>
        </w:tc>
      </w:tr>
    </w:tbl>
    <w:p>
      <w:pPr>
        <w:widowControl/>
        <w:snapToGrid w:val="0"/>
        <w:spacing w:line="360" w:lineRule="auto"/>
        <w:rPr>
          <w:rFonts w:ascii="宋体" w:hAnsi="宋体" w:cs="Arial"/>
          <w:color w:val="auto"/>
          <w:kern w:val="0"/>
          <w:szCs w:val="21"/>
        </w:rPr>
      </w:pPr>
    </w:p>
    <w:p>
      <w:pPr>
        <w:widowControl/>
        <w:snapToGrid w:val="0"/>
        <w:spacing w:line="360" w:lineRule="auto"/>
        <w:rPr>
          <w:rFonts w:ascii="宋体" w:hAnsi="宋体" w:cs="Arial"/>
          <w:color w:val="auto"/>
          <w:kern w:val="0"/>
          <w:szCs w:val="21"/>
        </w:rPr>
      </w:pPr>
    </w:p>
    <w:p>
      <w:pPr>
        <w:widowControl/>
        <w:snapToGrid w:val="0"/>
        <w:spacing w:before="156" w:beforeLines="50" w:line="360" w:lineRule="auto"/>
        <w:rPr>
          <w:rFonts w:asciiTheme="minorEastAsia" w:hAnsiTheme="minorEastAsia" w:eastAsiaTheme="minorEastAsia" w:cstheme="minorEastAsia"/>
          <w:color w:val="auto"/>
          <w:kern w:val="0"/>
          <w:sz w:val="24"/>
        </w:rPr>
      </w:pPr>
    </w:p>
    <w:p>
      <w:pPr>
        <w:snapToGrid w:val="0"/>
        <w:spacing w:before="156" w:beforeLines="50"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格式自拟，详见工程量清单</w:t>
      </w:r>
    </w:p>
    <w:p>
      <w:pPr>
        <w:widowControl/>
        <w:snapToGrid w:val="0"/>
        <w:spacing w:before="156" w:beforeLines="50" w:line="360" w:lineRule="auto"/>
        <w:rPr>
          <w:rFonts w:asciiTheme="minorEastAsia" w:hAnsiTheme="minorEastAsia" w:eastAsiaTheme="minorEastAsia" w:cstheme="minorEastAsia"/>
          <w:color w:val="auto"/>
          <w:kern w:val="0"/>
          <w:sz w:val="24"/>
        </w:rPr>
      </w:pPr>
    </w:p>
    <w:p>
      <w:pPr>
        <w:widowControl/>
        <w:snapToGrid w:val="0"/>
        <w:spacing w:before="156" w:beforeLines="50" w:line="360" w:lineRule="auto"/>
        <w:rPr>
          <w:rFonts w:asciiTheme="minorEastAsia" w:hAnsiTheme="minorEastAsia" w:eastAsiaTheme="minorEastAsia" w:cstheme="minorEastAsia"/>
          <w:color w:val="auto"/>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供应商名称（公章）：</w:t>
      </w:r>
    </w:p>
    <w:p>
      <w:pPr>
        <w:pStyle w:val="7"/>
        <w:spacing w:before="156" w:beforeLines="50" w:line="360" w:lineRule="auto"/>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法定代表人或代理人（签字或盖章）：</w:t>
      </w:r>
    </w:p>
    <w:p>
      <w:pPr>
        <w:pStyle w:val="17"/>
        <w:snapToGrid w:val="0"/>
        <w:spacing w:before="156" w:beforeLines="50" w:line="360" w:lineRule="auto"/>
        <w:ind w:firstLine="480"/>
        <w:rPr>
          <w:rFonts w:asciiTheme="minorEastAsia" w:hAnsiTheme="minorEastAsia" w:eastAsiaTheme="minorEastAsia" w:cstheme="minorEastAsia"/>
          <w:color w:val="auto"/>
          <w:szCs w:val="24"/>
        </w:rPr>
      </w:pPr>
    </w:p>
    <w:p>
      <w:pPr>
        <w:pStyle w:val="17"/>
        <w:snapToGrid w:val="0"/>
        <w:spacing w:before="156" w:beforeLines="50" w:line="360" w:lineRule="auto"/>
        <w:ind w:firstLine="480"/>
        <w:rPr>
          <w:rFonts w:asciiTheme="minorEastAsia" w:hAnsiTheme="minorEastAsia" w:eastAsiaTheme="minorEastAsia" w:cstheme="minorEastAsia"/>
          <w:color w:val="auto"/>
          <w:szCs w:val="24"/>
        </w:rPr>
      </w:pPr>
    </w:p>
    <w:p>
      <w:pPr>
        <w:pStyle w:val="17"/>
        <w:snapToGrid w:val="0"/>
        <w:spacing w:before="156" w:beforeLines="50" w:line="360" w:lineRule="auto"/>
        <w:ind w:firstLine="480"/>
        <w:rPr>
          <w:rFonts w:asciiTheme="minorEastAsia" w:hAnsiTheme="minorEastAsia" w:eastAsiaTheme="minorEastAsia" w:cstheme="minorEastAsia"/>
          <w:color w:val="auto"/>
          <w:szCs w:val="24"/>
        </w:rPr>
      </w:pPr>
    </w:p>
    <w:p>
      <w:pPr>
        <w:pStyle w:val="17"/>
        <w:snapToGrid w:val="0"/>
        <w:spacing w:before="156" w:beforeLines="50" w:line="360" w:lineRule="auto"/>
        <w:ind w:firstLine="480"/>
        <w:rPr>
          <w:rFonts w:asciiTheme="minorEastAsia" w:hAnsiTheme="minorEastAsia" w:eastAsiaTheme="minorEastAsia" w:cstheme="minorEastAsia"/>
          <w:color w:val="auto"/>
          <w:szCs w:val="24"/>
        </w:rPr>
      </w:pPr>
    </w:p>
    <w:bookmarkEnd w:id="71"/>
    <w:bookmarkEnd w:id="72"/>
    <w:p>
      <w:pPr>
        <w:pStyle w:val="7"/>
        <w:spacing w:before="156" w:beforeLines="50" w:line="360" w:lineRule="auto"/>
        <w:ind w:firstLine="482"/>
        <w:rPr>
          <w:rFonts w:asciiTheme="minorEastAsia" w:hAnsiTheme="minorEastAsia" w:eastAsiaTheme="minorEastAsia" w:cstheme="minorEastAsia"/>
          <w:b/>
          <w:bCs/>
          <w:color w:val="auto"/>
          <w:szCs w:val="24"/>
        </w:rPr>
      </w:pPr>
      <w:bookmarkStart w:id="73" w:name="_Toc288738839"/>
      <w:bookmarkStart w:id="74" w:name="_Toc288738397"/>
    </w:p>
    <w:p>
      <w:pPr>
        <w:pStyle w:val="7"/>
        <w:spacing w:before="156" w:beforeLines="50" w:line="360" w:lineRule="auto"/>
        <w:ind w:firstLine="482"/>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附件五：</w:t>
      </w:r>
    </w:p>
    <w:p>
      <w:pPr>
        <w:pStyle w:val="8"/>
        <w:adjustRightInd w:val="0"/>
        <w:snapToGrid w:val="0"/>
        <w:spacing w:line="300" w:lineRule="auto"/>
        <w:jc w:val="center"/>
        <w:rPr>
          <w:rFonts w:hAnsi="宋体"/>
          <w:b/>
          <w:bCs/>
          <w:color w:val="auto"/>
          <w:sz w:val="24"/>
          <w:szCs w:val="24"/>
        </w:rPr>
      </w:pPr>
      <w:r>
        <w:rPr>
          <w:rFonts w:hint="eastAsia" w:hAnsi="宋体"/>
          <w:b/>
          <w:bCs/>
          <w:color w:val="auto"/>
          <w:sz w:val="24"/>
          <w:szCs w:val="24"/>
        </w:rPr>
        <w:t>项目负责人简历表</w:t>
      </w:r>
    </w:p>
    <w:tbl>
      <w:tblPr>
        <w:tblStyle w:val="14"/>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381"/>
        <w:gridCol w:w="562"/>
        <w:gridCol w:w="572"/>
        <w:gridCol w:w="851"/>
        <w:gridCol w:w="56"/>
        <w:gridCol w:w="1323"/>
        <w:gridCol w:w="605"/>
        <w:gridCol w:w="993"/>
        <w:gridCol w:w="33"/>
        <w:gridCol w:w="110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110"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姓名</w:t>
            </w:r>
          </w:p>
        </w:tc>
        <w:tc>
          <w:tcPr>
            <w:tcW w:w="1578" w:type="dxa"/>
            <w:gridSpan w:val="3"/>
            <w:vAlign w:val="center"/>
          </w:tcPr>
          <w:p>
            <w:pPr>
              <w:pStyle w:val="8"/>
              <w:adjustRightInd w:val="0"/>
              <w:snapToGrid w:val="0"/>
              <w:spacing w:line="300" w:lineRule="auto"/>
              <w:jc w:val="center"/>
              <w:rPr>
                <w:rFonts w:hAnsi="宋体"/>
                <w:color w:val="auto"/>
                <w:sz w:val="24"/>
                <w:szCs w:val="24"/>
              </w:rPr>
            </w:pPr>
          </w:p>
        </w:tc>
        <w:tc>
          <w:tcPr>
            <w:tcW w:w="1479" w:type="dxa"/>
            <w:gridSpan w:val="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性别</w:t>
            </w:r>
          </w:p>
        </w:tc>
        <w:tc>
          <w:tcPr>
            <w:tcW w:w="1323" w:type="dxa"/>
            <w:vAlign w:val="center"/>
          </w:tcPr>
          <w:p>
            <w:pPr>
              <w:pStyle w:val="8"/>
              <w:adjustRightInd w:val="0"/>
              <w:snapToGrid w:val="0"/>
              <w:spacing w:line="300" w:lineRule="auto"/>
              <w:jc w:val="center"/>
              <w:rPr>
                <w:rFonts w:hAnsi="宋体"/>
                <w:color w:val="auto"/>
                <w:sz w:val="24"/>
                <w:szCs w:val="24"/>
              </w:rPr>
            </w:pPr>
          </w:p>
        </w:tc>
        <w:tc>
          <w:tcPr>
            <w:tcW w:w="1631" w:type="dxa"/>
            <w:gridSpan w:val="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年龄</w:t>
            </w:r>
          </w:p>
        </w:tc>
        <w:tc>
          <w:tcPr>
            <w:tcW w:w="2240" w:type="dxa"/>
            <w:gridSpan w:val="2"/>
            <w:vAlign w:val="center"/>
          </w:tcPr>
          <w:p>
            <w:pPr>
              <w:pStyle w:val="8"/>
              <w:adjustRightInd w:val="0"/>
              <w:snapToGrid w:val="0"/>
              <w:spacing w:line="30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110"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职务</w:t>
            </w:r>
          </w:p>
        </w:tc>
        <w:tc>
          <w:tcPr>
            <w:tcW w:w="1578" w:type="dxa"/>
            <w:gridSpan w:val="3"/>
            <w:vAlign w:val="center"/>
          </w:tcPr>
          <w:p>
            <w:pPr>
              <w:pStyle w:val="8"/>
              <w:adjustRightInd w:val="0"/>
              <w:snapToGrid w:val="0"/>
              <w:spacing w:line="300" w:lineRule="auto"/>
              <w:jc w:val="center"/>
              <w:rPr>
                <w:rFonts w:hAnsi="宋体"/>
                <w:color w:val="auto"/>
                <w:sz w:val="24"/>
                <w:szCs w:val="24"/>
              </w:rPr>
            </w:pPr>
          </w:p>
        </w:tc>
        <w:tc>
          <w:tcPr>
            <w:tcW w:w="1479" w:type="dxa"/>
            <w:gridSpan w:val="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职称</w:t>
            </w:r>
          </w:p>
        </w:tc>
        <w:tc>
          <w:tcPr>
            <w:tcW w:w="1323" w:type="dxa"/>
            <w:vAlign w:val="center"/>
          </w:tcPr>
          <w:p>
            <w:pPr>
              <w:pStyle w:val="8"/>
              <w:adjustRightInd w:val="0"/>
              <w:snapToGrid w:val="0"/>
              <w:spacing w:line="300" w:lineRule="auto"/>
              <w:jc w:val="center"/>
              <w:rPr>
                <w:rFonts w:hAnsi="宋体"/>
                <w:color w:val="auto"/>
                <w:sz w:val="24"/>
                <w:szCs w:val="24"/>
              </w:rPr>
            </w:pPr>
          </w:p>
        </w:tc>
        <w:tc>
          <w:tcPr>
            <w:tcW w:w="1631" w:type="dxa"/>
            <w:gridSpan w:val="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学历</w:t>
            </w:r>
          </w:p>
        </w:tc>
        <w:tc>
          <w:tcPr>
            <w:tcW w:w="2240" w:type="dxa"/>
            <w:gridSpan w:val="2"/>
            <w:vAlign w:val="center"/>
          </w:tcPr>
          <w:p>
            <w:pPr>
              <w:pStyle w:val="8"/>
              <w:adjustRightInd w:val="0"/>
              <w:snapToGrid w:val="0"/>
              <w:spacing w:line="30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745" w:type="dxa"/>
            <w:gridSpan w:val="2"/>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参加工作时间</w:t>
            </w:r>
          </w:p>
        </w:tc>
        <w:tc>
          <w:tcPr>
            <w:tcW w:w="2366" w:type="dxa"/>
            <w:gridSpan w:val="4"/>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 xml:space="preserve">             </w:t>
            </w:r>
          </w:p>
        </w:tc>
        <w:tc>
          <w:tcPr>
            <w:tcW w:w="2977" w:type="dxa"/>
            <w:gridSpan w:val="4"/>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从事项目负责人年限</w:t>
            </w:r>
          </w:p>
        </w:tc>
        <w:tc>
          <w:tcPr>
            <w:tcW w:w="2273" w:type="dxa"/>
            <w:gridSpan w:val="3"/>
            <w:vAlign w:val="center"/>
          </w:tcPr>
          <w:p>
            <w:pPr>
              <w:pStyle w:val="8"/>
              <w:adjustRightInd w:val="0"/>
              <w:snapToGrid w:val="0"/>
              <w:spacing w:line="30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9361" w:type="dxa"/>
            <w:gridSpan w:val="1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项目名称</w:t>
            </w:r>
          </w:p>
        </w:tc>
        <w:tc>
          <w:tcPr>
            <w:tcW w:w="1134" w:type="dxa"/>
            <w:gridSpan w:val="2"/>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建设规模</w:t>
            </w:r>
          </w:p>
        </w:tc>
        <w:tc>
          <w:tcPr>
            <w:tcW w:w="2835" w:type="dxa"/>
            <w:gridSpan w:val="4"/>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开、竣工程日期</w:t>
            </w:r>
          </w:p>
        </w:tc>
        <w:tc>
          <w:tcPr>
            <w:tcW w:w="2127" w:type="dxa"/>
            <w:gridSpan w:val="3"/>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中标价</w:t>
            </w:r>
          </w:p>
        </w:tc>
        <w:tc>
          <w:tcPr>
            <w:tcW w:w="1139"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8"/>
              <w:adjustRightInd w:val="0"/>
              <w:snapToGrid w:val="0"/>
              <w:spacing w:line="300" w:lineRule="auto"/>
              <w:jc w:val="center"/>
              <w:rPr>
                <w:rFonts w:hAnsi="宋体"/>
                <w:b/>
                <w:bCs/>
                <w:color w:val="auto"/>
                <w:sz w:val="24"/>
                <w:szCs w:val="24"/>
              </w:rPr>
            </w:pPr>
          </w:p>
        </w:tc>
        <w:tc>
          <w:tcPr>
            <w:tcW w:w="1134" w:type="dxa"/>
            <w:gridSpan w:val="2"/>
            <w:vAlign w:val="center"/>
          </w:tcPr>
          <w:p>
            <w:pPr>
              <w:pStyle w:val="8"/>
              <w:adjustRightInd w:val="0"/>
              <w:snapToGrid w:val="0"/>
              <w:spacing w:line="300" w:lineRule="auto"/>
              <w:jc w:val="center"/>
              <w:rPr>
                <w:rFonts w:hAnsi="宋体"/>
                <w:b/>
                <w:bCs/>
                <w:color w:val="auto"/>
                <w:sz w:val="24"/>
                <w:szCs w:val="24"/>
              </w:rPr>
            </w:pPr>
          </w:p>
        </w:tc>
        <w:tc>
          <w:tcPr>
            <w:tcW w:w="2835" w:type="dxa"/>
            <w:gridSpan w:val="4"/>
            <w:vAlign w:val="center"/>
          </w:tcPr>
          <w:p>
            <w:pPr>
              <w:pStyle w:val="8"/>
              <w:adjustRightInd w:val="0"/>
              <w:snapToGrid w:val="0"/>
              <w:spacing w:line="300" w:lineRule="auto"/>
              <w:jc w:val="center"/>
              <w:rPr>
                <w:rFonts w:hAnsi="宋体"/>
                <w:b/>
                <w:bCs/>
                <w:color w:val="auto"/>
                <w:sz w:val="24"/>
                <w:szCs w:val="24"/>
              </w:rPr>
            </w:pPr>
          </w:p>
        </w:tc>
        <w:tc>
          <w:tcPr>
            <w:tcW w:w="2127" w:type="dxa"/>
            <w:gridSpan w:val="3"/>
            <w:vAlign w:val="center"/>
          </w:tcPr>
          <w:p>
            <w:pPr>
              <w:pStyle w:val="8"/>
              <w:adjustRightInd w:val="0"/>
              <w:snapToGrid w:val="0"/>
              <w:spacing w:line="300" w:lineRule="auto"/>
              <w:jc w:val="center"/>
              <w:rPr>
                <w:rFonts w:hAnsi="宋体"/>
                <w:b/>
                <w:bCs/>
                <w:color w:val="auto"/>
                <w:sz w:val="24"/>
                <w:szCs w:val="24"/>
              </w:rPr>
            </w:pPr>
          </w:p>
        </w:tc>
        <w:tc>
          <w:tcPr>
            <w:tcW w:w="1139" w:type="dxa"/>
            <w:vAlign w:val="center"/>
          </w:tcPr>
          <w:p>
            <w:pPr>
              <w:pStyle w:val="8"/>
              <w:adjustRightInd w:val="0"/>
              <w:snapToGrid w:val="0"/>
              <w:spacing w:line="300" w:lineRule="auto"/>
              <w:jc w:val="center"/>
              <w:rPr>
                <w:rFonts w:hAnsi="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8"/>
              <w:adjustRightInd w:val="0"/>
              <w:snapToGrid w:val="0"/>
              <w:spacing w:line="300" w:lineRule="auto"/>
              <w:jc w:val="center"/>
              <w:rPr>
                <w:rFonts w:hAnsi="宋体"/>
                <w:b/>
                <w:bCs/>
                <w:color w:val="auto"/>
                <w:sz w:val="24"/>
                <w:szCs w:val="24"/>
              </w:rPr>
            </w:pPr>
          </w:p>
        </w:tc>
        <w:tc>
          <w:tcPr>
            <w:tcW w:w="1134" w:type="dxa"/>
            <w:gridSpan w:val="2"/>
            <w:vAlign w:val="center"/>
          </w:tcPr>
          <w:p>
            <w:pPr>
              <w:pStyle w:val="8"/>
              <w:adjustRightInd w:val="0"/>
              <w:snapToGrid w:val="0"/>
              <w:spacing w:line="300" w:lineRule="auto"/>
              <w:jc w:val="center"/>
              <w:rPr>
                <w:rFonts w:hAnsi="宋体"/>
                <w:b/>
                <w:bCs/>
                <w:color w:val="auto"/>
                <w:sz w:val="24"/>
                <w:szCs w:val="24"/>
              </w:rPr>
            </w:pPr>
          </w:p>
        </w:tc>
        <w:tc>
          <w:tcPr>
            <w:tcW w:w="2835" w:type="dxa"/>
            <w:gridSpan w:val="4"/>
            <w:vAlign w:val="center"/>
          </w:tcPr>
          <w:p>
            <w:pPr>
              <w:pStyle w:val="8"/>
              <w:adjustRightInd w:val="0"/>
              <w:snapToGrid w:val="0"/>
              <w:spacing w:line="300" w:lineRule="auto"/>
              <w:jc w:val="center"/>
              <w:rPr>
                <w:rFonts w:hAnsi="宋体"/>
                <w:b/>
                <w:bCs/>
                <w:color w:val="auto"/>
                <w:sz w:val="24"/>
                <w:szCs w:val="24"/>
              </w:rPr>
            </w:pPr>
          </w:p>
        </w:tc>
        <w:tc>
          <w:tcPr>
            <w:tcW w:w="2127" w:type="dxa"/>
            <w:gridSpan w:val="3"/>
            <w:vAlign w:val="center"/>
          </w:tcPr>
          <w:p>
            <w:pPr>
              <w:pStyle w:val="8"/>
              <w:adjustRightInd w:val="0"/>
              <w:snapToGrid w:val="0"/>
              <w:spacing w:line="300" w:lineRule="auto"/>
              <w:jc w:val="center"/>
              <w:rPr>
                <w:rFonts w:hAnsi="宋体"/>
                <w:b/>
                <w:bCs/>
                <w:color w:val="auto"/>
                <w:sz w:val="24"/>
                <w:szCs w:val="24"/>
              </w:rPr>
            </w:pPr>
          </w:p>
        </w:tc>
        <w:tc>
          <w:tcPr>
            <w:tcW w:w="1139" w:type="dxa"/>
            <w:vAlign w:val="center"/>
          </w:tcPr>
          <w:p>
            <w:pPr>
              <w:pStyle w:val="8"/>
              <w:adjustRightInd w:val="0"/>
              <w:snapToGrid w:val="0"/>
              <w:spacing w:line="300" w:lineRule="auto"/>
              <w:jc w:val="center"/>
              <w:rPr>
                <w:rFonts w:hAnsi="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8"/>
              <w:adjustRightInd w:val="0"/>
              <w:snapToGrid w:val="0"/>
              <w:spacing w:line="300" w:lineRule="auto"/>
              <w:jc w:val="center"/>
              <w:rPr>
                <w:rFonts w:hAnsi="宋体"/>
                <w:b/>
                <w:bCs/>
                <w:color w:val="auto"/>
                <w:sz w:val="24"/>
                <w:szCs w:val="24"/>
              </w:rPr>
            </w:pPr>
          </w:p>
        </w:tc>
        <w:tc>
          <w:tcPr>
            <w:tcW w:w="1134" w:type="dxa"/>
            <w:gridSpan w:val="2"/>
            <w:vAlign w:val="center"/>
          </w:tcPr>
          <w:p>
            <w:pPr>
              <w:pStyle w:val="8"/>
              <w:adjustRightInd w:val="0"/>
              <w:snapToGrid w:val="0"/>
              <w:spacing w:line="300" w:lineRule="auto"/>
              <w:jc w:val="center"/>
              <w:rPr>
                <w:rFonts w:hAnsi="宋体"/>
                <w:b/>
                <w:bCs/>
                <w:color w:val="auto"/>
                <w:sz w:val="24"/>
                <w:szCs w:val="24"/>
              </w:rPr>
            </w:pPr>
          </w:p>
        </w:tc>
        <w:tc>
          <w:tcPr>
            <w:tcW w:w="2835" w:type="dxa"/>
            <w:gridSpan w:val="4"/>
            <w:vAlign w:val="center"/>
          </w:tcPr>
          <w:p>
            <w:pPr>
              <w:pStyle w:val="8"/>
              <w:adjustRightInd w:val="0"/>
              <w:snapToGrid w:val="0"/>
              <w:spacing w:line="300" w:lineRule="auto"/>
              <w:jc w:val="center"/>
              <w:rPr>
                <w:rFonts w:hAnsi="宋体"/>
                <w:b/>
                <w:bCs/>
                <w:color w:val="auto"/>
                <w:sz w:val="24"/>
                <w:szCs w:val="24"/>
              </w:rPr>
            </w:pPr>
          </w:p>
        </w:tc>
        <w:tc>
          <w:tcPr>
            <w:tcW w:w="2127" w:type="dxa"/>
            <w:gridSpan w:val="3"/>
            <w:vAlign w:val="center"/>
          </w:tcPr>
          <w:p>
            <w:pPr>
              <w:pStyle w:val="8"/>
              <w:adjustRightInd w:val="0"/>
              <w:snapToGrid w:val="0"/>
              <w:spacing w:line="300" w:lineRule="auto"/>
              <w:jc w:val="center"/>
              <w:rPr>
                <w:rFonts w:hAnsi="宋体"/>
                <w:b/>
                <w:bCs/>
                <w:color w:val="auto"/>
                <w:sz w:val="24"/>
                <w:szCs w:val="24"/>
              </w:rPr>
            </w:pPr>
          </w:p>
        </w:tc>
        <w:tc>
          <w:tcPr>
            <w:tcW w:w="1139" w:type="dxa"/>
            <w:vAlign w:val="center"/>
          </w:tcPr>
          <w:p>
            <w:pPr>
              <w:pStyle w:val="8"/>
              <w:adjustRightInd w:val="0"/>
              <w:snapToGrid w:val="0"/>
              <w:spacing w:line="300" w:lineRule="auto"/>
              <w:jc w:val="center"/>
              <w:rPr>
                <w:rFonts w:hAnsi="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8"/>
              <w:adjustRightInd w:val="0"/>
              <w:snapToGrid w:val="0"/>
              <w:spacing w:line="300" w:lineRule="auto"/>
              <w:jc w:val="center"/>
              <w:rPr>
                <w:rFonts w:hAnsi="宋体"/>
                <w:b/>
                <w:bCs/>
                <w:color w:val="auto"/>
                <w:sz w:val="24"/>
                <w:szCs w:val="24"/>
              </w:rPr>
            </w:pPr>
          </w:p>
        </w:tc>
        <w:tc>
          <w:tcPr>
            <w:tcW w:w="1134" w:type="dxa"/>
            <w:gridSpan w:val="2"/>
            <w:vAlign w:val="center"/>
          </w:tcPr>
          <w:p>
            <w:pPr>
              <w:pStyle w:val="8"/>
              <w:adjustRightInd w:val="0"/>
              <w:snapToGrid w:val="0"/>
              <w:spacing w:line="300" w:lineRule="auto"/>
              <w:jc w:val="center"/>
              <w:rPr>
                <w:rFonts w:hAnsi="宋体"/>
                <w:b/>
                <w:bCs/>
                <w:color w:val="auto"/>
                <w:sz w:val="24"/>
                <w:szCs w:val="24"/>
              </w:rPr>
            </w:pPr>
          </w:p>
        </w:tc>
        <w:tc>
          <w:tcPr>
            <w:tcW w:w="2835" w:type="dxa"/>
            <w:gridSpan w:val="4"/>
            <w:vAlign w:val="center"/>
          </w:tcPr>
          <w:p>
            <w:pPr>
              <w:pStyle w:val="8"/>
              <w:adjustRightInd w:val="0"/>
              <w:snapToGrid w:val="0"/>
              <w:spacing w:line="300" w:lineRule="auto"/>
              <w:jc w:val="center"/>
              <w:rPr>
                <w:rFonts w:hAnsi="宋体"/>
                <w:b/>
                <w:bCs/>
                <w:color w:val="auto"/>
                <w:sz w:val="24"/>
                <w:szCs w:val="24"/>
              </w:rPr>
            </w:pPr>
          </w:p>
        </w:tc>
        <w:tc>
          <w:tcPr>
            <w:tcW w:w="2127" w:type="dxa"/>
            <w:gridSpan w:val="3"/>
            <w:vAlign w:val="center"/>
          </w:tcPr>
          <w:p>
            <w:pPr>
              <w:pStyle w:val="8"/>
              <w:adjustRightInd w:val="0"/>
              <w:snapToGrid w:val="0"/>
              <w:spacing w:line="300" w:lineRule="auto"/>
              <w:jc w:val="center"/>
              <w:rPr>
                <w:rFonts w:hAnsi="宋体"/>
                <w:b/>
                <w:bCs/>
                <w:color w:val="auto"/>
                <w:sz w:val="24"/>
                <w:szCs w:val="24"/>
              </w:rPr>
            </w:pPr>
          </w:p>
        </w:tc>
        <w:tc>
          <w:tcPr>
            <w:tcW w:w="1139" w:type="dxa"/>
            <w:vAlign w:val="center"/>
          </w:tcPr>
          <w:p>
            <w:pPr>
              <w:pStyle w:val="8"/>
              <w:adjustRightInd w:val="0"/>
              <w:snapToGrid w:val="0"/>
              <w:spacing w:line="300" w:lineRule="auto"/>
              <w:jc w:val="center"/>
              <w:rPr>
                <w:rFonts w:hAnsi="宋体"/>
                <w:b/>
                <w:bCs/>
                <w:color w:val="auto"/>
                <w:sz w:val="24"/>
                <w:szCs w:val="24"/>
              </w:rPr>
            </w:pPr>
          </w:p>
        </w:tc>
      </w:tr>
      <w:bookmarkEnd w:id="73"/>
      <w:bookmarkEnd w:id="74"/>
    </w:tbl>
    <w:p>
      <w:pPr>
        <w:jc w:val="center"/>
        <w:rPr>
          <w:rFonts w:ascii="宋体" w:hAnsi="宋体"/>
          <w:color w:val="auto"/>
          <w:szCs w:val="21"/>
        </w:rPr>
      </w:pPr>
    </w:p>
    <w:p>
      <w:pPr>
        <w:jc w:val="center"/>
        <w:rPr>
          <w:rFonts w:ascii="宋体" w:hAnsi="宋体"/>
          <w:b/>
          <w:bCs/>
          <w:color w:val="auto"/>
          <w:sz w:val="24"/>
        </w:rPr>
      </w:pPr>
    </w:p>
    <w:p>
      <w:pPr>
        <w:jc w:val="center"/>
        <w:rPr>
          <w:rFonts w:ascii="宋体" w:hAnsi="宋体"/>
          <w:b/>
          <w:bCs/>
          <w:color w:val="auto"/>
          <w:sz w:val="24"/>
        </w:rPr>
      </w:pPr>
      <w:r>
        <w:rPr>
          <w:rFonts w:hint="eastAsia" w:ascii="宋体" w:hAnsi="宋体"/>
          <w:b/>
          <w:bCs/>
          <w:color w:val="auto"/>
          <w:sz w:val="24"/>
        </w:rPr>
        <w:t>投标人（企业）业绩表</w:t>
      </w:r>
    </w:p>
    <w:tbl>
      <w:tblPr>
        <w:tblStyle w:val="14"/>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134"/>
        <w:gridCol w:w="2835"/>
        <w:gridCol w:w="21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9356" w:type="dxa"/>
            <w:gridSpan w:val="5"/>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2126"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项目名称</w:t>
            </w:r>
          </w:p>
        </w:tc>
        <w:tc>
          <w:tcPr>
            <w:tcW w:w="1134"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建设</w:t>
            </w:r>
          </w:p>
          <w:p>
            <w:pPr>
              <w:pStyle w:val="8"/>
              <w:adjustRightInd w:val="0"/>
              <w:snapToGrid w:val="0"/>
              <w:spacing w:line="300" w:lineRule="auto"/>
              <w:jc w:val="center"/>
              <w:rPr>
                <w:rFonts w:hAnsi="宋体"/>
                <w:color w:val="auto"/>
                <w:sz w:val="24"/>
                <w:szCs w:val="24"/>
              </w:rPr>
            </w:pPr>
            <w:r>
              <w:rPr>
                <w:rFonts w:hint="eastAsia" w:hAnsi="宋体"/>
                <w:color w:val="auto"/>
                <w:sz w:val="24"/>
                <w:szCs w:val="24"/>
              </w:rPr>
              <w:t>规模</w:t>
            </w:r>
          </w:p>
        </w:tc>
        <w:tc>
          <w:tcPr>
            <w:tcW w:w="2835"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开、竣工程日期</w:t>
            </w:r>
          </w:p>
        </w:tc>
        <w:tc>
          <w:tcPr>
            <w:tcW w:w="2127"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中标价</w:t>
            </w:r>
          </w:p>
        </w:tc>
        <w:tc>
          <w:tcPr>
            <w:tcW w:w="1134"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其它</w:t>
            </w:r>
          </w:p>
          <w:p>
            <w:pPr>
              <w:pStyle w:val="8"/>
              <w:adjustRightInd w:val="0"/>
              <w:snapToGrid w:val="0"/>
              <w:spacing w:line="300" w:lineRule="auto"/>
              <w:jc w:val="center"/>
              <w:rPr>
                <w:rFonts w:hAnsi="宋体"/>
                <w:color w:val="auto"/>
                <w:sz w:val="24"/>
                <w:szCs w:val="24"/>
              </w:rPr>
            </w:pPr>
            <w:r>
              <w:rPr>
                <w:rFonts w:hint="eastAsia" w:hAnsi="宋体"/>
                <w:color w:val="auto"/>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2126" w:type="dxa"/>
            <w:vAlign w:val="center"/>
          </w:tcPr>
          <w:p>
            <w:pPr>
              <w:pStyle w:val="8"/>
              <w:adjustRightInd w:val="0"/>
              <w:snapToGrid w:val="0"/>
              <w:spacing w:line="300" w:lineRule="auto"/>
              <w:jc w:val="center"/>
              <w:rPr>
                <w:rFonts w:hAnsi="宋体"/>
                <w:color w:val="auto"/>
                <w:sz w:val="24"/>
                <w:szCs w:val="24"/>
              </w:rPr>
            </w:pPr>
          </w:p>
        </w:tc>
        <w:tc>
          <w:tcPr>
            <w:tcW w:w="1134" w:type="dxa"/>
            <w:vAlign w:val="center"/>
          </w:tcPr>
          <w:p>
            <w:pPr>
              <w:pStyle w:val="8"/>
              <w:adjustRightInd w:val="0"/>
              <w:snapToGrid w:val="0"/>
              <w:spacing w:line="300" w:lineRule="auto"/>
              <w:jc w:val="center"/>
              <w:rPr>
                <w:rFonts w:hAnsi="宋体"/>
                <w:color w:val="auto"/>
                <w:sz w:val="24"/>
                <w:szCs w:val="24"/>
              </w:rPr>
            </w:pPr>
          </w:p>
        </w:tc>
        <w:tc>
          <w:tcPr>
            <w:tcW w:w="2835" w:type="dxa"/>
            <w:vAlign w:val="center"/>
          </w:tcPr>
          <w:p>
            <w:pPr>
              <w:pStyle w:val="8"/>
              <w:adjustRightInd w:val="0"/>
              <w:snapToGrid w:val="0"/>
              <w:spacing w:line="300" w:lineRule="auto"/>
              <w:jc w:val="center"/>
              <w:rPr>
                <w:rFonts w:hAnsi="宋体"/>
                <w:color w:val="auto"/>
                <w:sz w:val="24"/>
                <w:szCs w:val="24"/>
              </w:rPr>
            </w:pPr>
          </w:p>
        </w:tc>
        <w:tc>
          <w:tcPr>
            <w:tcW w:w="2127" w:type="dxa"/>
            <w:vAlign w:val="center"/>
          </w:tcPr>
          <w:p>
            <w:pPr>
              <w:pStyle w:val="8"/>
              <w:adjustRightInd w:val="0"/>
              <w:snapToGrid w:val="0"/>
              <w:spacing w:line="300" w:lineRule="auto"/>
              <w:jc w:val="center"/>
              <w:rPr>
                <w:rFonts w:hAnsi="宋体"/>
                <w:color w:val="auto"/>
                <w:sz w:val="24"/>
                <w:szCs w:val="24"/>
              </w:rPr>
            </w:pPr>
          </w:p>
        </w:tc>
        <w:tc>
          <w:tcPr>
            <w:tcW w:w="1134" w:type="dxa"/>
            <w:vAlign w:val="center"/>
          </w:tcPr>
          <w:p>
            <w:pPr>
              <w:pStyle w:val="8"/>
              <w:adjustRightInd w:val="0"/>
              <w:snapToGrid w:val="0"/>
              <w:spacing w:line="30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2126" w:type="dxa"/>
            <w:vAlign w:val="center"/>
          </w:tcPr>
          <w:p>
            <w:pPr>
              <w:pStyle w:val="8"/>
              <w:adjustRightInd w:val="0"/>
              <w:snapToGrid w:val="0"/>
              <w:spacing w:line="300" w:lineRule="auto"/>
              <w:jc w:val="center"/>
              <w:rPr>
                <w:rFonts w:hAnsi="宋体"/>
                <w:color w:val="auto"/>
                <w:sz w:val="24"/>
                <w:szCs w:val="24"/>
              </w:rPr>
            </w:pPr>
          </w:p>
        </w:tc>
        <w:tc>
          <w:tcPr>
            <w:tcW w:w="1134" w:type="dxa"/>
            <w:vAlign w:val="center"/>
          </w:tcPr>
          <w:p>
            <w:pPr>
              <w:pStyle w:val="8"/>
              <w:adjustRightInd w:val="0"/>
              <w:snapToGrid w:val="0"/>
              <w:spacing w:line="300" w:lineRule="auto"/>
              <w:jc w:val="center"/>
              <w:rPr>
                <w:rFonts w:hAnsi="宋体"/>
                <w:color w:val="auto"/>
                <w:sz w:val="24"/>
                <w:szCs w:val="24"/>
              </w:rPr>
            </w:pPr>
          </w:p>
        </w:tc>
        <w:tc>
          <w:tcPr>
            <w:tcW w:w="2835" w:type="dxa"/>
            <w:vAlign w:val="center"/>
          </w:tcPr>
          <w:p>
            <w:pPr>
              <w:pStyle w:val="8"/>
              <w:adjustRightInd w:val="0"/>
              <w:snapToGrid w:val="0"/>
              <w:spacing w:line="300" w:lineRule="auto"/>
              <w:jc w:val="center"/>
              <w:rPr>
                <w:rFonts w:hAnsi="宋体"/>
                <w:color w:val="auto"/>
                <w:sz w:val="24"/>
                <w:szCs w:val="24"/>
              </w:rPr>
            </w:pPr>
          </w:p>
        </w:tc>
        <w:tc>
          <w:tcPr>
            <w:tcW w:w="2127" w:type="dxa"/>
            <w:vAlign w:val="center"/>
          </w:tcPr>
          <w:p>
            <w:pPr>
              <w:pStyle w:val="8"/>
              <w:adjustRightInd w:val="0"/>
              <w:snapToGrid w:val="0"/>
              <w:spacing w:line="300" w:lineRule="auto"/>
              <w:jc w:val="center"/>
              <w:rPr>
                <w:rFonts w:hAnsi="宋体"/>
                <w:color w:val="auto"/>
                <w:sz w:val="24"/>
                <w:szCs w:val="24"/>
              </w:rPr>
            </w:pPr>
          </w:p>
        </w:tc>
        <w:tc>
          <w:tcPr>
            <w:tcW w:w="1134" w:type="dxa"/>
            <w:vAlign w:val="center"/>
          </w:tcPr>
          <w:p>
            <w:pPr>
              <w:pStyle w:val="8"/>
              <w:adjustRightInd w:val="0"/>
              <w:snapToGrid w:val="0"/>
              <w:spacing w:line="30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2126" w:type="dxa"/>
            <w:vAlign w:val="center"/>
          </w:tcPr>
          <w:p>
            <w:pPr>
              <w:pStyle w:val="8"/>
              <w:adjustRightInd w:val="0"/>
              <w:snapToGrid w:val="0"/>
              <w:spacing w:line="300" w:lineRule="auto"/>
              <w:jc w:val="center"/>
              <w:rPr>
                <w:rFonts w:hAnsi="宋体"/>
                <w:color w:val="auto"/>
                <w:sz w:val="24"/>
                <w:szCs w:val="24"/>
              </w:rPr>
            </w:pPr>
          </w:p>
        </w:tc>
        <w:tc>
          <w:tcPr>
            <w:tcW w:w="1134" w:type="dxa"/>
            <w:vAlign w:val="center"/>
          </w:tcPr>
          <w:p>
            <w:pPr>
              <w:pStyle w:val="8"/>
              <w:adjustRightInd w:val="0"/>
              <w:snapToGrid w:val="0"/>
              <w:spacing w:line="300" w:lineRule="auto"/>
              <w:jc w:val="center"/>
              <w:rPr>
                <w:rFonts w:hAnsi="宋体"/>
                <w:color w:val="auto"/>
                <w:sz w:val="24"/>
                <w:szCs w:val="24"/>
              </w:rPr>
            </w:pPr>
          </w:p>
        </w:tc>
        <w:tc>
          <w:tcPr>
            <w:tcW w:w="2835" w:type="dxa"/>
            <w:vAlign w:val="center"/>
          </w:tcPr>
          <w:p>
            <w:pPr>
              <w:pStyle w:val="8"/>
              <w:adjustRightInd w:val="0"/>
              <w:snapToGrid w:val="0"/>
              <w:spacing w:line="300" w:lineRule="auto"/>
              <w:jc w:val="center"/>
              <w:rPr>
                <w:rFonts w:hAnsi="宋体"/>
                <w:color w:val="auto"/>
                <w:sz w:val="24"/>
                <w:szCs w:val="24"/>
              </w:rPr>
            </w:pPr>
          </w:p>
        </w:tc>
        <w:tc>
          <w:tcPr>
            <w:tcW w:w="2127" w:type="dxa"/>
            <w:vAlign w:val="center"/>
          </w:tcPr>
          <w:p>
            <w:pPr>
              <w:pStyle w:val="8"/>
              <w:adjustRightInd w:val="0"/>
              <w:snapToGrid w:val="0"/>
              <w:spacing w:line="300" w:lineRule="auto"/>
              <w:jc w:val="center"/>
              <w:rPr>
                <w:rFonts w:hAnsi="宋体"/>
                <w:color w:val="auto"/>
                <w:sz w:val="24"/>
                <w:szCs w:val="24"/>
              </w:rPr>
            </w:pPr>
          </w:p>
        </w:tc>
        <w:tc>
          <w:tcPr>
            <w:tcW w:w="1134" w:type="dxa"/>
            <w:vAlign w:val="center"/>
          </w:tcPr>
          <w:p>
            <w:pPr>
              <w:pStyle w:val="8"/>
              <w:adjustRightInd w:val="0"/>
              <w:snapToGrid w:val="0"/>
              <w:spacing w:line="30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2126" w:type="dxa"/>
            <w:vAlign w:val="center"/>
          </w:tcPr>
          <w:p>
            <w:pPr>
              <w:pStyle w:val="8"/>
              <w:adjustRightInd w:val="0"/>
              <w:snapToGrid w:val="0"/>
              <w:spacing w:line="300" w:lineRule="auto"/>
              <w:jc w:val="center"/>
              <w:rPr>
                <w:rFonts w:hAnsi="宋体"/>
                <w:color w:val="auto"/>
              </w:rPr>
            </w:pPr>
          </w:p>
        </w:tc>
        <w:tc>
          <w:tcPr>
            <w:tcW w:w="1134" w:type="dxa"/>
            <w:vAlign w:val="center"/>
          </w:tcPr>
          <w:p>
            <w:pPr>
              <w:pStyle w:val="8"/>
              <w:adjustRightInd w:val="0"/>
              <w:snapToGrid w:val="0"/>
              <w:spacing w:line="300" w:lineRule="auto"/>
              <w:jc w:val="center"/>
              <w:rPr>
                <w:rFonts w:hAnsi="宋体"/>
                <w:color w:val="auto"/>
              </w:rPr>
            </w:pPr>
          </w:p>
        </w:tc>
        <w:tc>
          <w:tcPr>
            <w:tcW w:w="2835" w:type="dxa"/>
            <w:vAlign w:val="center"/>
          </w:tcPr>
          <w:p>
            <w:pPr>
              <w:pStyle w:val="8"/>
              <w:adjustRightInd w:val="0"/>
              <w:snapToGrid w:val="0"/>
              <w:spacing w:line="300" w:lineRule="auto"/>
              <w:jc w:val="center"/>
              <w:rPr>
                <w:rFonts w:hAnsi="宋体"/>
                <w:color w:val="auto"/>
              </w:rPr>
            </w:pPr>
          </w:p>
        </w:tc>
        <w:tc>
          <w:tcPr>
            <w:tcW w:w="2127" w:type="dxa"/>
            <w:vAlign w:val="center"/>
          </w:tcPr>
          <w:p>
            <w:pPr>
              <w:pStyle w:val="8"/>
              <w:adjustRightInd w:val="0"/>
              <w:snapToGrid w:val="0"/>
              <w:spacing w:line="300" w:lineRule="auto"/>
              <w:jc w:val="center"/>
              <w:rPr>
                <w:rFonts w:hAnsi="宋体"/>
                <w:color w:val="auto"/>
              </w:rPr>
            </w:pPr>
          </w:p>
        </w:tc>
        <w:tc>
          <w:tcPr>
            <w:tcW w:w="1134" w:type="dxa"/>
            <w:vAlign w:val="center"/>
          </w:tcPr>
          <w:p>
            <w:pPr>
              <w:pStyle w:val="8"/>
              <w:adjustRightInd w:val="0"/>
              <w:snapToGrid w:val="0"/>
              <w:spacing w:line="300" w:lineRule="auto"/>
              <w:jc w:val="center"/>
              <w:rPr>
                <w:rFonts w:hAnsi="宋体"/>
                <w:color w:val="auto"/>
              </w:rPr>
            </w:pPr>
          </w:p>
        </w:tc>
      </w:tr>
    </w:tbl>
    <w:p>
      <w:pPr>
        <w:widowControl/>
        <w:snapToGrid w:val="0"/>
        <w:spacing w:before="156" w:beforeLines="50" w:line="360" w:lineRule="auto"/>
        <w:rPr>
          <w:rFonts w:asciiTheme="minorEastAsia" w:hAnsiTheme="minorEastAsia" w:eastAsiaTheme="minorEastAsia" w:cstheme="minorEastAsia"/>
          <w:color w:val="auto"/>
          <w:kern w:val="0"/>
          <w:sz w:val="24"/>
        </w:rPr>
      </w:pPr>
    </w:p>
    <w:p>
      <w:pPr>
        <w:pStyle w:val="8"/>
        <w:adjustRightInd w:val="0"/>
        <w:snapToGrid w:val="0"/>
        <w:spacing w:line="300" w:lineRule="auto"/>
        <w:ind w:firstLine="640"/>
        <w:jc w:val="center"/>
        <w:rPr>
          <w:rFonts w:hAnsi="宋体"/>
          <w:b/>
          <w:bCs/>
          <w:color w:val="auto"/>
          <w:sz w:val="24"/>
          <w:szCs w:val="24"/>
        </w:rPr>
      </w:pPr>
      <w:r>
        <w:rPr>
          <w:rFonts w:hint="eastAsia" w:hAnsi="宋体"/>
          <w:b/>
          <w:bCs/>
          <w:color w:val="auto"/>
          <w:sz w:val="24"/>
          <w:szCs w:val="24"/>
        </w:rPr>
        <w:t>主要施工管理人员表</w:t>
      </w: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930"/>
        <w:gridCol w:w="930"/>
        <w:gridCol w:w="750"/>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名称</w:t>
            </w:r>
          </w:p>
        </w:tc>
        <w:tc>
          <w:tcPr>
            <w:tcW w:w="930"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姓名</w:t>
            </w:r>
          </w:p>
        </w:tc>
        <w:tc>
          <w:tcPr>
            <w:tcW w:w="930"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职务</w:t>
            </w:r>
          </w:p>
        </w:tc>
        <w:tc>
          <w:tcPr>
            <w:tcW w:w="750"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职称</w:t>
            </w:r>
          </w:p>
        </w:tc>
        <w:tc>
          <w:tcPr>
            <w:tcW w:w="4821" w:type="dxa"/>
            <w:vAlign w:val="center"/>
          </w:tcPr>
          <w:p>
            <w:pPr>
              <w:pStyle w:val="8"/>
              <w:adjustRightInd w:val="0"/>
              <w:snapToGrid w:val="0"/>
              <w:spacing w:line="300" w:lineRule="auto"/>
              <w:jc w:val="center"/>
              <w:rPr>
                <w:rFonts w:hAnsi="宋体"/>
                <w:color w:val="auto"/>
                <w:sz w:val="24"/>
                <w:szCs w:val="24"/>
              </w:rPr>
            </w:pPr>
            <w:r>
              <w:rPr>
                <w:rFonts w:hint="eastAsia" w:hAnsi="宋体"/>
                <w:color w:val="auto"/>
                <w:sz w:val="24"/>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1891" w:type="dxa"/>
          </w:tcPr>
          <w:p>
            <w:pPr>
              <w:pStyle w:val="8"/>
              <w:adjustRightInd w:val="0"/>
              <w:snapToGrid w:val="0"/>
              <w:spacing w:line="300" w:lineRule="auto"/>
              <w:rPr>
                <w:rFonts w:hAnsi="宋体"/>
                <w:color w:val="auto"/>
                <w:sz w:val="24"/>
                <w:szCs w:val="24"/>
              </w:rPr>
            </w:pPr>
            <w:r>
              <w:rPr>
                <w:rFonts w:hint="eastAsia" w:hAnsi="宋体"/>
                <w:color w:val="auto"/>
                <w:sz w:val="24"/>
                <w:szCs w:val="24"/>
              </w:rPr>
              <w:t>一、总部</w:t>
            </w:r>
          </w:p>
          <w:p>
            <w:pPr>
              <w:pStyle w:val="8"/>
              <w:adjustRightInd w:val="0"/>
              <w:snapToGrid w:val="0"/>
              <w:spacing w:line="300" w:lineRule="auto"/>
              <w:rPr>
                <w:rFonts w:hAnsi="宋体"/>
                <w:color w:val="auto"/>
                <w:sz w:val="24"/>
                <w:szCs w:val="24"/>
              </w:rPr>
            </w:pPr>
            <w:r>
              <w:rPr>
                <w:rFonts w:hint="eastAsia" w:hAnsi="宋体"/>
                <w:color w:val="auto"/>
                <w:sz w:val="24"/>
                <w:szCs w:val="24"/>
              </w:rPr>
              <w:t xml:space="preserve">  1.项目主管</w:t>
            </w:r>
          </w:p>
          <w:p>
            <w:pPr>
              <w:pStyle w:val="8"/>
              <w:adjustRightInd w:val="0"/>
              <w:snapToGrid w:val="0"/>
              <w:spacing w:line="300" w:lineRule="auto"/>
              <w:rPr>
                <w:rFonts w:hAnsi="宋体"/>
                <w:color w:val="auto"/>
                <w:sz w:val="24"/>
                <w:szCs w:val="24"/>
              </w:rPr>
            </w:pPr>
            <w:r>
              <w:rPr>
                <w:rFonts w:hint="eastAsia" w:hAnsi="宋体"/>
                <w:color w:val="auto"/>
                <w:sz w:val="24"/>
                <w:szCs w:val="24"/>
              </w:rPr>
              <w:t xml:space="preserve">  2.其他人员</w:t>
            </w:r>
          </w:p>
          <w:p>
            <w:pPr>
              <w:pStyle w:val="8"/>
              <w:adjustRightInd w:val="0"/>
              <w:snapToGrid w:val="0"/>
              <w:spacing w:line="300" w:lineRule="auto"/>
              <w:ind w:firstLine="630"/>
              <w:rPr>
                <w:rFonts w:hAnsi="宋体"/>
                <w:color w:val="auto"/>
                <w:sz w:val="24"/>
                <w:szCs w:val="24"/>
              </w:rPr>
            </w:pPr>
            <w:r>
              <w:rPr>
                <w:rFonts w:hint="eastAsia" w:hAnsi="宋体"/>
                <w:color w:val="auto"/>
                <w:sz w:val="24"/>
                <w:szCs w:val="24"/>
              </w:rPr>
              <w:t>…</w:t>
            </w:r>
          </w:p>
          <w:p>
            <w:pPr>
              <w:pStyle w:val="8"/>
              <w:adjustRightInd w:val="0"/>
              <w:snapToGrid w:val="0"/>
              <w:spacing w:line="300" w:lineRule="auto"/>
              <w:rPr>
                <w:rFonts w:hAnsi="宋体"/>
                <w:color w:val="auto"/>
                <w:sz w:val="24"/>
                <w:szCs w:val="24"/>
              </w:rPr>
            </w:pPr>
            <w:r>
              <w:rPr>
                <w:rFonts w:hint="eastAsia" w:hAnsi="宋体"/>
                <w:color w:val="auto"/>
                <w:sz w:val="24"/>
                <w:szCs w:val="24"/>
              </w:rPr>
              <w:t>二、现场</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项目经理</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项目副经理</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技术负责人</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施工员</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质量员</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安全员</w:t>
            </w:r>
          </w:p>
          <w:p>
            <w:pPr>
              <w:numPr>
                <w:ilvl w:val="0"/>
                <w:numId w:val="4"/>
              </w:numPr>
              <w:tabs>
                <w:tab w:val="left" w:pos="0"/>
              </w:tabs>
              <w:spacing w:line="300" w:lineRule="auto"/>
              <w:rPr>
                <w:rFonts w:ascii="宋体" w:hAnsi="宋体"/>
                <w:color w:val="auto"/>
                <w:sz w:val="24"/>
              </w:rPr>
            </w:pPr>
            <w:r>
              <w:rPr>
                <w:rFonts w:hint="eastAsia" w:ascii="宋体" w:hAnsi="宋体"/>
                <w:color w:val="auto"/>
                <w:sz w:val="24"/>
              </w:rPr>
              <w:t>材料员</w:t>
            </w:r>
          </w:p>
          <w:p>
            <w:pPr>
              <w:pStyle w:val="8"/>
              <w:adjustRightInd w:val="0"/>
              <w:snapToGrid w:val="0"/>
              <w:spacing w:line="300" w:lineRule="auto"/>
              <w:rPr>
                <w:rFonts w:hAnsi="宋体"/>
                <w:color w:val="auto"/>
                <w:sz w:val="24"/>
                <w:szCs w:val="24"/>
              </w:rPr>
            </w:pPr>
            <w:r>
              <w:rPr>
                <w:rFonts w:hint="eastAsia" w:hAnsi="宋体"/>
                <w:color w:val="auto"/>
                <w:sz w:val="24"/>
                <w:szCs w:val="24"/>
              </w:rPr>
              <w:t>8、预算员</w:t>
            </w:r>
          </w:p>
        </w:tc>
        <w:tc>
          <w:tcPr>
            <w:tcW w:w="930" w:type="dxa"/>
          </w:tcPr>
          <w:p>
            <w:pPr>
              <w:pStyle w:val="8"/>
              <w:adjustRightInd w:val="0"/>
              <w:snapToGrid w:val="0"/>
              <w:spacing w:line="300" w:lineRule="auto"/>
              <w:rPr>
                <w:rFonts w:hAnsi="宋体"/>
                <w:color w:val="auto"/>
                <w:sz w:val="24"/>
                <w:szCs w:val="24"/>
              </w:rPr>
            </w:pPr>
          </w:p>
        </w:tc>
        <w:tc>
          <w:tcPr>
            <w:tcW w:w="930" w:type="dxa"/>
          </w:tcPr>
          <w:p>
            <w:pPr>
              <w:pStyle w:val="8"/>
              <w:adjustRightInd w:val="0"/>
              <w:snapToGrid w:val="0"/>
              <w:spacing w:line="300" w:lineRule="auto"/>
              <w:rPr>
                <w:rFonts w:hAnsi="宋体"/>
                <w:color w:val="auto"/>
                <w:sz w:val="24"/>
                <w:szCs w:val="24"/>
              </w:rPr>
            </w:pPr>
          </w:p>
        </w:tc>
        <w:tc>
          <w:tcPr>
            <w:tcW w:w="750" w:type="dxa"/>
          </w:tcPr>
          <w:p>
            <w:pPr>
              <w:pStyle w:val="8"/>
              <w:adjustRightInd w:val="0"/>
              <w:snapToGrid w:val="0"/>
              <w:spacing w:line="300" w:lineRule="auto"/>
              <w:rPr>
                <w:rFonts w:hAnsi="宋体"/>
                <w:color w:val="auto"/>
                <w:sz w:val="24"/>
                <w:szCs w:val="24"/>
              </w:rPr>
            </w:pPr>
          </w:p>
        </w:tc>
        <w:tc>
          <w:tcPr>
            <w:tcW w:w="4821" w:type="dxa"/>
          </w:tcPr>
          <w:p>
            <w:pPr>
              <w:pStyle w:val="8"/>
              <w:adjustRightInd w:val="0"/>
              <w:snapToGrid w:val="0"/>
              <w:spacing w:line="300" w:lineRule="auto"/>
              <w:rPr>
                <w:rFonts w:hAnsi="宋体"/>
                <w:color w:val="auto"/>
                <w:sz w:val="24"/>
                <w:szCs w:val="24"/>
              </w:rPr>
            </w:pPr>
          </w:p>
        </w:tc>
      </w:tr>
    </w:tbl>
    <w:p>
      <w:pPr>
        <w:widowControl/>
        <w:snapToGrid w:val="0"/>
        <w:spacing w:before="156" w:beforeLines="50" w:line="360" w:lineRule="auto"/>
        <w:rPr>
          <w:rFonts w:asciiTheme="minorEastAsia" w:hAnsiTheme="minorEastAsia" w:eastAsiaTheme="minorEastAsia" w:cstheme="minorEastAsia"/>
          <w:color w:val="auto"/>
          <w:kern w:val="0"/>
          <w:sz w:val="24"/>
        </w:rPr>
      </w:pPr>
    </w:p>
    <w:p>
      <w:pPr>
        <w:widowControl/>
        <w:snapToGrid w:val="0"/>
        <w:spacing w:before="156" w:beforeLines="50" w:line="360" w:lineRule="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供应商名称（公章）：</w:t>
      </w:r>
    </w:p>
    <w:p>
      <w:pPr>
        <w:snapToGrid w:val="0"/>
        <w:spacing w:before="156" w:before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法定代表人或代理人（签字或盖章）：</w:t>
      </w:r>
    </w:p>
    <w:p>
      <w:pPr>
        <w:snapToGrid w:val="0"/>
        <w:spacing w:before="156" w:beforeLines="50" w:line="360" w:lineRule="auto"/>
        <w:rPr>
          <w:rFonts w:asciiTheme="minorEastAsia" w:hAnsiTheme="minorEastAsia" w:eastAsiaTheme="minorEastAsia" w:cstheme="minorEastAsia"/>
          <w:color w:val="auto"/>
          <w:sz w:val="24"/>
        </w:rPr>
      </w:pPr>
    </w:p>
    <w:p>
      <w:pPr>
        <w:snapToGrid w:val="0"/>
        <w:spacing w:before="156" w:beforeLines="50" w:line="360" w:lineRule="auto"/>
        <w:rPr>
          <w:rFonts w:asciiTheme="minorEastAsia" w:hAnsiTheme="minorEastAsia" w:eastAsiaTheme="minorEastAsia" w:cstheme="minorEastAsia"/>
          <w:color w:val="auto"/>
          <w:sz w:val="24"/>
        </w:rPr>
      </w:pPr>
    </w:p>
    <w:p>
      <w:pPr>
        <w:snapToGrid w:val="0"/>
        <w:spacing w:before="156" w:beforeLines="50" w:line="360" w:lineRule="auto"/>
        <w:rPr>
          <w:rFonts w:asciiTheme="minorEastAsia" w:hAnsiTheme="minorEastAsia" w:eastAsiaTheme="minorEastAsia" w:cstheme="minorEastAsia"/>
          <w:color w:val="auto"/>
          <w:sz w:val="24"/>
        </w:rPr>
      </w:pPr>
    </w:p>
    <w:p>
      <w:pPr>
        <w:pStyle w:val="4"/>
        <w:numPr>
          <w:ilvl w:val="0"/>
          <w:numId w:val="0"/>
        </w:numPr>
        <w:snapToGrid w:val="0"/>
        <w:spacing w:before="156" w:beforeLines="50" w:line="360" w:lineRule="auto"/>
        <w:rPr>
          <w:rFonts w:asciiTheme="minorEastAsia" w:hAnsiTheme="minorEastAsia" w:eastAsiaTheme="minorEastAsia" w:cstheme="minorEastAsia"/>
          <w:b/>
          <w:bCs/>
          <w:color w:val="auto"/>
          <w:sz w:val="24"/>
          <w:szCs w:val="24"/>
        </w:rPr>
      </w:pPr>
      <w:bookmarkStart w:id="75" w:name="_Toc471818706"/>
    </w:p>
    <w:p>
      <w:pPr>
        <w:pStyle w:val="4"/>
        <w:numPr>
          <w:ilvl w:val="0"/>
          <w:numId w:val="0"/>
        </w:numPr>
        <w:snapToGrid w:val="0"/>
        <w:spacing w:before="156" w:beforeLines="50" w:line="360" w:lineRule="auto"/>
        <w:rPr>
          <w:rFonts w:asciiTheme="minorEastAsia" w:hAnsiTheme="minorEastAsia" w:eastAsiaTheme="minorEastAsia" w:cstheme="minorEastAsia"/>
          <w:b/>
          <w:bCs/>
          <w:color w:val="auto"/>
          <w:sz w:val="24"/>
          <w:szCs w:val="24"/>
        </w:rPr>
      </w:pPr>
    </w:p>
    <w:p>
      <w:pPr>
        <w:rPr>
          <w:rFonts w:asciiTheme="minorEastAsia" w:hAnsiTheme="minorEastAsia" w:eastAsiaTheme="minorEastAsia" w:cstheme="minorEastAsia"/>
          <w:b/>
          <w:bCs/>
          <w:color w:val="auto"/>
          <w:sz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13"/>
        <w:rPr>
          <w:rFonts w:asciiTheme="minorEastAsia" w:hAnsiTheme="minorEastAsia" w:eastAsiaTheme="minorEastAsia" w:cstheme="minorEastAsia"/>
          <w:b/>
          <w:bCs/>
          <w:color w:val="auto"/>
          <w:sz w:val="24"/>
          <w:szCs w:val="24"/>
        </w:rPr>
      </w:pPr>
    </w:p>
    <w:p>
      <w:pPr>
        <w:pStyle w:val="4"/>
        <w:numPr>
          <w:ilvl w:val="0"/>
          <w:numId w:val="0"/>
        </w:numPr>
        <w:snapToGrid w:val="0"/>
        <w:spacing w:before="156" w:beforeLines="50"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附件六：</w:t>
      </w:r>
    </w:p>
    <w:p>
      <w:pPr>
        <w:spacing w:before="156" w:beforeLines="50" w:line="360" w:lineRule="auto"/>
        <w:ind w:firstLine="1303" w:firstLineChars="541"/>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参加政府采购活动前 3 年内在经营活动中</w:t>
      </w:r>
    </w:p>
    <w:p>
      <w:pPr>
        <w:spacing w:before="156" w:beforeLines="50"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没有重大违法记录的书面声明</w:t>
      </w:r>
    </w:p>
    <w:p>
      <w:pPr>
        <w:spacing w:before="156" w:beforeLines="50" w:line="360" w:lineRule="auto"/>
        <w:jc w:val="center"/>
        <w:rPr>
          <w:rFonts w:asciiTheme="minorEastAsia" w:hAnsiTheme="minorEastAsia" w:eastAsiaTheme="minorEastAsia" w:cstheme="minorEastAsia"/>
          <w:b/>
          <w:bCs/>
          <w:color w:val="auto"/>
          <w:sz w:val="24"/>
        </w:rPr>
      </w:pP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我公司郑重声明：参加本次政府采购活动前 3 年内，我公司在经营活动中没有因违法经营受到刑事处罚或者责令停产停业、吊销许可证或者执照、较大数额罚款等行政处罚。</w:t>
      </w:r>
    </w:p>
    <w:p>
      <w:pPr>
        <w:snapToGrid w:val="0"/>
        <w:spacing w:before="156" w:beforeLines="50" w:line="360" w:lineRule="auto"/>
        <w:rPr>
          <w:rFonts w:asciiTheme="minorEastAsia" w:hAnsiTheme="minorEastAsia" w:eastAsiaTheme="minorEastAsia" w:cstheme="minorEastAsia"/>
          <w:color w:val="auto"/>
          <w:sz w:val="24"/>
        </w:rPr>
      </w:pP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供应商名称（公章）：</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法定代表人或代理人（签字或盖章）：_______________________</w:t>
      </w:r>
    </w:p>
    <w:p>
      <w:pPr>
        <w:snapToGrid w:val="0"/>
        <w:spacing w:before="156" w:beforeLines="50" w:line="360" w:lineRule="auto"/>
        <w:ind w:firstLine="480" w:firstLineChars="200"/>
        <w:rPr>
          <w:color w:val="auto"/>
        </w:rPr>
      </w:pPr>
      <w:r>
        <w:rPr>
          <w:rFonts w:hint="eastAsia" w:asciiTheme="minorEastAsia" w:hAnsiTheme="minorEastAsia" w:eastAsiaTheme="minorEastAsia" w:cstheme="minorEastAsia"/>
          <w:color w:val="auto"/>
          <w:sz w:val="24"/>
        </w:rPr>
        <w:t>日期：______年___月___日</w:t>
      </w:r>
    </w:p>
    <w:p>
      <w:pPr>
        <w:spacing w:before="156" w:beforeLines="50" w:line="360" w:lineRule="auto"/>
        <w:rPr>
          <w:rFonts w:asciiTheme="minorEastAsia" w:hAnsiTheme="minorEastAsia" w:eastAsiaTheme="minorEastAsia" w:cstheme="minorEastAsia"/>
          <w:b/>
          <w:bCs/>
          <w:color w:val="auto"/>
          <w:sz w:val="24"/>
        </w:rPr>
      </w:pPr>
    </w:p>
    <w:p>
      <w:pPr>
        <w:spacing w:before="156" w:beforeLines="50" w:line="360" w:lineRule="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附件七：</w:t>
      </w:r>
    </w:p>
    <w:p>
      <w:pPr>
        <w:spacing w:before="156" w:beforeLines="50" w:line="360" w:lineRule="auto"/>
        <w:ind w:firstLine="1205" w:firstLineChars="500"/>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具备履行合同所必需的设备和专业技术能力的书面声明</w:t>
      </w:r>
    </w:p>
    <w:p>
      <w:pPr>
        <w:pStyle w:val="7"/>
        <w:spacing w:before="156" w:beforeLines="50" w:line="360" w:lineRule="auto"/>
        <w:ind w:firstLine="480"/>
        <w:rPr>
          <w:rFonts w:asciiTheme="minorEastAsia" w:hAnsiTheme="minorEastAsia" w:eastAsiaTheme="minorEastAsia" w:cstheme="minorEastAsia"/>
          <w:color w:val="auto"/>
          <w:szCs w:val="24"/>
        </w:rPr>
      </w:pPr>
    </w:p>
    <w:p>
      <w:pPr>
        <w:pStyle w:val="7"/>
        <w:spacing w:before="156" w:beforeLines="50"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我公司郑重声明：我公司具备履行本项采购合同所必需的设备和专业技术能力，为履行本项采购合同我公司具备如下主要设备和主要专业技术能力：</w:t>
      </w:r>
    </w:p>
    <w:p>
      <w:pPr>
        <w:pStyle w:val="7"/>
        <w:spacing w:before="156" w:beforeLines="50"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主要设备有：</w:t>
      </w:r>
    </w:p>
    <w:p>
      <w:pPr>
        <w:pStyle w:val="7"/>
        <w:spacing w:before="156" w:beforeLines="50" w:line="360" w:lineRule="auto"/>
        <w:ind w:firstLine="480"/>
        <w:rPr>
          <w:rFonts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rPr>
        <w:t>主要专业技术能力有：</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供应商名称（公章）：</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法定代表人或代理人（签字或盖章）：_______________________</w:t>
      </w:r>
    </w:p>
    <w:p>
      <w:pPr>
        <w:snapToGrid w:val="0"/>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日期：______年    月    日</w:t>
      </w:r>
    </w:p>
    <w:p>
      <w:pPr>
        <w:pStyle w:val="3"/>
        <w:numPr>
          <w:ilvl w:val="0"/>
          <w:numId w:val="0"/>
        </w:numPr>
        <w:snapToGrid w:val="0"/>
        <w:spacing w:before="156" w:beforeLines="50"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第七章 采购需求</w:t>
      </w:r>
      <w:bookmarkEnd w:id="75"/>
      <w:bookmarkStart w:id="76" w:name="_Toc526071394"/>
    </w:p>
    <w:p>
      <w:pPr>
        <w:rPr>
          <w:color w:val="auto"/>
        </w:rPr>
      </w:pPr>
    </w:p>
    <w:p>
      <w:pPr>
        <w:ind w:firstLine="211" w:firstLineChars="100"/>
        <w:rPr>
          <w:b/>
          <w:color w:val="auto"/>
          <w:szCs w:val="21"/>
        </w:rPr>
      </w:pPr>
      <w:r>
        <w:rPr>
          <w:rFonts w:ascii="宋体" w:hAnsi="宋体" w:cs="宋体"/>
          <w:b/>
          <w:bCs/>
          <w:color w:val="auto"/>
          <w:szCs w:val="21"/>
        </w:rPr>
        <w:t>采购需求详见编制说明、工程量清单</w:t>
      </w:r>
    </w:p>
    <w:p>
      <w:pPr>
        <w:pStyle w:val="13"/>
        <w:rPr>
          <w:color w:val="auto"/>
        </w:rPr>
      </w:pPr>
    </w:p>
    <w:bookmarkEnd w:id="76"/>
    <w:p>
      <w:pPr>
        <w:pStyle w:val="3"/>
        <w:numPr>
          <w:ilvl w:val="0"/>
          <w:numId w:val="0"/>
        </w:numPr>
        <w:snapToGrid w:val="0"/>
        <w:spacing w:before="156" w:beforeLines="50" w:line="360" w:lineRule="auto"/>
        <w:rPr>
          <w:rFonts w:asciiTheme="minorEastAsia" w:hAnsiTheme="minorEastAsia" w:eastAsiaTheme="minorEastAsia" w:cstheme="minorEastAsia"/>
          <w:color w:val="auto"/>
          <w:sz w:val="24"/>
          <w:szCs w:val="24"/>
        </w:rPr>
      </w:pPr>
      <w:bookmarkStart w:id="77" w:name="_Toc471818707"/>
      <w:r>
        <w:rPr>
          <w:rFonts w:hint="eastAsia" w:asciiTheme="minorEastAsia" w:hAnsiTheme="minorEastAsia" w:eastAsiaTheme="minorEastAsia" w:cstheme="minorEastAsia"/>
          <w:color w:val="auto"/>
          <w:sz w:val="24"/>
          <w:szCs w:val="24"/>
        </w:rPr>
        <w:t>第八章 评审办法</w:t>
      </w:r>
      <w:bookmarkEnd w:id="77"/>
    </w:p>
    <w:p>
      <w:pPr>
        <w:spacing w:before="156" w:beforeLines="5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本项目采用综合评分法</w:t>
      </w:r>
      <w:r>
        <w:rPr>
          <w:rFonts w:hint="eastAsia" w:asciiTheme="minorEastAsia" w:hAnsiTheme="minorEastAsia" w:eastAsiaTheme="minorEastAsia" w:cstheme="minorEastAsia"/>
          <w:color w:val="auto"/>
          <w:sz w:val="24"/>
        </w:rPr>
        <w:t>，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hint="eastAsia" w:asciiTheme="minorEastAsia" w:hAnsiTheme="minorEastAsia" w:eastAsiaTheme="minorEastAsia" w:cstheme="minorEastAsia"/>
          <w:color w:val="auto"/>
          <w:spacing w:val="-6"/>
          <w:sz w:val="24"/>
        </w:rPr>
        <w:t>按评审后最终综合得分由高到低顺序排列名次，并</w:t>
      </w:r>
      <w:r>
        <w:rPr>
          <w:rFonts w:hint="eastAsia" w:asciiTheme="minorEastAsia" w:hAnsiTheme="minorEastAsia" w:eastAsiaTheme="minorEastAsia" w:cstheme="minorEastAsia"/>
          <w:color w:val="auto"/>
          <w:sz w:val="24"/>
        </w:rPr>
        <w:t>推荐出成交人</w:t>
      </w:r>
      <w:r>
        <w:rPr>
          <w:rFonts w:hint="eastAsia" w:asciiTheme="minorEastAsia" w:hAnsiTheme="minorEastAsia" w:eastAsiaTheme="minorEastAsia" w:cstheme="minorEastAsia"/>
          <w:color w:val="auto"/>
          <w:spacing w:val="-6"/>
          <w:sz w:val="24"/>
        </w:rPr>
        <w:t>。如得分相同的，按投标报价由低到高顺序</w:t>
      </w:r>
      <w:r>
        <w:rPr>
          <w:rFonts w:hint="eastAsia" w:asciiTheme="minorEastAsia" w:hAnsiTheme="minorEastAsia" w:eastAsiaTheme="minorEastAsia" w:cstheme="minorEastAsia"/>
          <w:color w:val="auto"/>
          <w:sz w:val="24"/>
        </w:rPr>
        <w:t>推荐成交人。</w:t>
      </w:r>
    </w:p>
    <w:tbl>
      <w:tblPr>
        <w:tblStyle w:val="14"/>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766"/>
        <w:gridCol w:w="412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jc w:val="center"/>
              <w:rPr>
                <w:rFonts w:ascii="宋体" w:cs="宋体"/>
                <w:color w:val="auto"/>
              </w:rPr>
            </w:pPr>
            <w:r>
              <w:rPr>
                <w:rFonts w:hint="eastAsia" w:ascii="宋体" w:hAnsi="宋体" w:cs="宋体"/>
                <w:color w:val="auto"/>
              </w:rPr>
              <w:t>序号</w:t>
            </w:r>
          </w:p>
        </w:tc>
        <w:tc>
          <w:tcPr>
            <w:tcW w:w="1134" w:type="dxa"/>
            <w:vAlign w:val="center"/>
          </w:tcPr>
          <w:p>
            <w:pPr>
              <w:jc w:val="center"/>
              <w:rPr>
                <w:rFonts w:ascii="宋体" w:cs="宋体"/>
                <w:color w:val="auto"/>
              </w:rPr>
            </w:pPr>
            <w:r>
              <w:rPr>
                <w:rFonts w:hint="eastAsia" w:ascii="宋体" w:hAnsi="宋体" w:cs="宋体"/>
                <w:color w:val="auto"/>
              </w:rPr>
              <w:t>评审因素</w:t>
            </w:r>
          </w:p>
        </w:tc>
        <w:tc>
          <w:tcPr>
            <w:tcW w:w="766" w:type="dxa"/>
            <w:vAlign w:val="center"/>
          </w:tcPr>
          <w:p>
            <w:pPr>
              <w:jc w:val="center"/>
              <w:rPr>
                <w:rFonts w:ascii="宋体" w:cs="宋体"/>
                <w:color w:val="auto"/>
              </w:rPr>
            </w:pPr>
            <w:r>
              <w:rPr>
                <w:rFonts w:hint="eastAsia" w:ascii="宋体" w:hAnsi="宋体" w:cs="宋体"/>
                <w:color w:val="auto"/>
              </w:rPr>
              <w:t>分值</w:t>
            </w:r>
          </w:p>
        </w:tc>
        <w:tc>
          <w:tcPr>
            <w:tcW w:w="4129" w:type="dxa"/>
            <w:vAlign w:val="center"/>
          </w:tcPr>
          <w:p>
            <w:pPr>
              <w:jc w:val="center"/>
              <w:rPr>
                <w:rFonts w:ascii="宋体" w:cs="宋体"/>
                <w:color w:val="auto"/>
              </w:rPr>
            </w:pPr>
            <w:r>
              <w:rPr>
                <w:rFonts w:hint="eastAsia" w:ascii="宋体" w:hAnsi="宋体" w:cs="宋体"/>
                <w:color w:val="auto"/>
              </w:rPr>
              <w:t>评分标准</w:t>
            </w:r>
          </w:p>
        </w:tc>
        <w:tc>
          <w:tcPr>
            <w:tcW w:w="1925" w:type="dxa"/>
            <w:vAlign w:val="center"/>
          </w:tcPr>
          <w:p>
            <w:pPr>
              <w:jc w:val="center"/>
              <w:rPr>
                <w:rFonts w:ascii="宋体" w:cs="宋体"/>
                <w:color w:val="auto"/>
              </w:rPr>
            </w:pPr>
            <w:r>
              <w:rPr>
                <w:rFonts w:hint="eastAsia" w:ascii="宋体" w:hAnsi="宋体" w:cs="宋体"/>
                <w:color w:val="auto"/>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6" w:type="dxa"/>
            <w:gridSpan w:val="5"/>
            <w:vAlign w:val="center"/>
          </w:tcPr>
          <w:p>
            <w:pPr>
              <w:rPr>
                <w:rFonts w:ascii="宋体" w:cs="宋体"/>
                <w:color w:val="auto"/>
              </w:rPr>
            </w:pPr>
            <w:r>
              <w:rPr>
                <w:rFonts w:hint="eastAsia" w:ascii="宋体" w:hAnsi="宋体" w:cs="宋体"/>
                <w:color w:val="auto"/>
              </w:rPr>
              <w:t>一、投标报价（</w:t>
            </w:r>
            <w:r>
              <w:rPr>
                <w:rFonts w:hint="eastAsia" w:ascii="宋体" w:hAnsi="宋体" w:cs="宋体"/>
                <w:color w:val="auto"/>
                <w:lang w:val="en-US" w:eastAsia="zh-CN"/>
              </w:rPr>
              <w:t>70</w:t>
            </w:r>
            <w:r>
              <w:rPr>
                <w:rFonts w:hint="eastAsia" w:ascii="宋体" w:hAnsi="宋体" w:cs="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rPr>
                <w:rFonts w:ascii="宋体" w:hAnsi="宋体" w:cs="宋体"/>
                <w:color w:val="auto"/>
              </w:rPr>
            </w:pPr>
            <w:r>
              <w:rPr>
                <w:rFonts w:ascii="宋体" w:hAnsi="宋体" w:cs="宋体"/>
                <w:color w:val="auto"/>
              </w:rPr>
              <w:t>1</w:t>
            </w:r>
          </w:p>
        </w:tc>
        <w:tc>
          <w:tcPr>
            <w:tcW w:w="1134" w:type="dxa"/>
            <w:vAlign w:val="center"/>
          </w:tcPr>
          <w:p>
            <w:pPr>
              <w:rPr>
                <w:rFonts w:ascii="宋体" w:cs="宋体"/>
                <w:color w:val="auto"/>
              </w:rPr>
            </w:pPr>
            <w:r>
              <w:rPr>
                <w:rFonts w:hint="eastAsia" w:ascii="宋体" w:hAnsi="宋体" w:cs="宋体"/>
                <w:color w:val="auto"/>
              </w:rPr>
              <w:t>报价（供应商最终报价）</w:t>
            </w:r>
          </w:p>
        </w:tc>
        <w:tc>
          <w:tcPr>
            <w:tcW w:w="766" w:type="dxa"/>
            <w:vAlign w:val="center"/>
          </w:tcPr>
          <w:p>
            <w:pPr>
              <w:rPr>
                <w:rFonts w:ascii="宋体" w:cs="宋体"/>
                <w:color w:val="auto"/>
              </w:rPr>
            </w:pPr>
            <w:r>
              <w:rPr>
                <w:rFonts w:hint="eastAsia" w:ascii="宋体" w:hAnsi="宋体" w:cs="宋体"/>
                <w:color w:val="auto"/>
                <w:lang w:val="en-US" w:eastAsia="zh-CN"/>
              </w:rPr>
              <w:t>70</w:t>
            </w:r>
            <w:r>
              <w:rPr>
                <w:rFonts w:hint="eastAsia" w:ascii="宋体" w:hAnsi="宋体" w:cs="宋体"/>
                <w:color w:val="auto"/>
              </w:rPr>
              <w:t>分</w:t>
            </w:r>
          </w:p>
        </w:tc>
        <w:tc>
          <w:tcPr>
            <w:tcW w:w="4129" w:type="dxa"/>
            <w:vAlign w:val="center"/>
          </w:tcPr>
          <w:p>
            <w:pPr>
              <w:rPr>
                <w:rFonts w:ascii="宋体" w:cs="宋体"/>
                <w:color w:val="auto"/>
              </w:rPr>
            </w:pPr>
            <w:r>
              <w:rPr>
                <w:rFonts w:hint="eastAsia" w:ascii="宋体" w:hAnsi="宋体" w:cs="宋体"/>
                <w:color w:val="auto"/>
              </w:rPr>
              <w:t>第一步：最终报价在采购预算价格以下的，为有效报价。超出此范围的报价为无效报价。无效报价的响应文件不进行评审，也不成交。</w:t>
            </w:r>
          </w:p>
          <w:p>
            <w:pPr>
              <w:rPr>
                <w:rFonts w:ascii="宋体" w:cs="宋体"/>
                <w:color w:val="auto"/>
              </w:rPr>
            </w:pPr>
            <w:r>
              <w:rPr>
                <w:rFonts w:hint="eastAsia" w:ascii="宋体" w:hAnsi="宋体" w:cs="宋体"/>
                <w:color w:val="auto"/>
              </w:rPr>
              <w:t>第二步：所有有效报价的算术平均价</w:t>
            </w:r>
            <w:r>
              <w:rPr>
                <w:rFonts w:ascii="宋体" w:hAnsi="宋体" w:cs="宋体"/>
                <w:color w:val="auto"/>
              </w:rPr>
              <w:t>*0.98</w:t>
            </w:r>
            <w:r>
              <w:rPr>
                <w:rFonts w:hint="eastAsia" w:ascii="宋体" w:hAnsi="宋体" w:cs="宋体"/>
                <w:color w:val="auto"/>
              </w:rPr>
              <w:t>为基准报价，其价格分为满分。特别说明：如果某供应商的磋商报价中有漏项，且该供应商成交，则其成交价不能调整，即漏项部分的价格需该供应商自行消化。</w:t>
            </w:r>
          </w:p>
          <w:p>
            <w:pPr>
              <w:rPr>
                <w:rFonts w:ascii="宋体" w:cs="宋体"/>
                <w:color w:val="auto"/>
              </w:rPr>
            </w:pPr>
            <w:r>
              <w:rPr>
                <w:rFonts w:hint="eastAsia" w:ascii="宋体" w:hAnsi="宋体" w:cs="宋体"/>
                <w:color w:val="auto"/>
              </w:rPr>
              <w:t>第三步：将所有有效报价与基准报价相比较：等于或小于基准报价的得</w:t>
            </w:r>
            <w:r>
              <w:rPr>
                <w:rFonts w:ascii="宋体" w:hAnsi="宋体" w:cs="宋体"/>
                <w:color w:val="auto"/>
              </w:rPr>
              <w:t xml:space="preserve">50 </w:t>
            </w:r>
            <w:r>
              <w:rPr>
                <w:rFonts w:hint="eastAsia" w:ascii="宋体" w:hAnsi="宋体" w:cs="宋体"/>
                <w:color w:val="auto"/>
              </w:rPr>
              <w:t>分，其他供应商的价格分按照下列公式计算（计算结果四舍五入保留两位小数）：</w:t>
            </w:r>
          </w:p>
          <w:p>
            <w:pPr>
              <w:rPr>
                <w:rFonts w:ascii="宋体" w:cs="宋体"/>
                <w:color w:val="auto"/>
              </w:rPr>
            </w:pPr>
            <w:r>
              <w:rPr>
                <w:rFonts w:hint="eastAsia" w:ascii="宋体" w:hAnsi="宋体" w:cs="宋体"/>
                <w:color w:val="auto"/>
              </w:rPr>
              <w:t>磋商报价得分</w:t>
            </w:r>
            <w:r>
              <w:rPr>
                <w:rFonts w:ascii="宋体" w:hAnsi="宋体" w:cs="宋体"/>
                <w:color w:val="auto"/>
              </w:rPr>
              <w:t>=</w:t>
            </w:r>
            <w:r>
              <w:rPr>
                <w:rFonts w:hint="eastAsia" w:ascii="宋体" w:hAnsi="宋体" w:cs="宋体"/>
                <w:color w:val="auto"/>
              </w:rPr>
              <w:t>（磋商基准价</w:t>
            </w:r>
            <w:r>
              <w:rPr>
                <w:rFonts w:ascii="宋体" w:hAnsi="宋体" w:cs="宋体"/>
                <w:color w:val="auto"/>
              </w:rPr>
              <w:t>/</w:t>
            </w:r>
            <w:r>
              <w:rPr>
                <w:rFonts w:hint="eastAsia" w:ascii="宋体" w:hAnsi="宋体" w:cs="宋体"/>
                <w:color w:val="auto"/>
              </w:rPr>
              <w:t>最后磋商报价）×价格权值（</w:t>
            </w:r>
            <w:r>
              <w:rPr>
                <w:rFonts w:hint="eastAsia" w:ascii="宋体" w:hAnsi="宋体" w:cs="宋体"/>
                <w:color w:val="auto"/>
                <w:lang w:val="en-US" w:eastAsia="zh-CN"/>
              </w:rPr>
              <w:t>70</w:t>
            </w:r>
            <w:r>
              <w:rPr>
                <w:rFonts w:hint="eastAsia" w:ascii="宋体" w:hAnsi="宋体" w:cs="宋体"/>
                <w:color w:val="auto"/>
              </w:rPr>
              <w:t>）</w:t>
            </w:r>
            <w:r>
              <w:rPr>
                <w:rFonts w:ascii="宋体" w:hAnsi="宋体" w:cs="宋体"/>
                <w:color w:val="auto"/>
              </w:rPr>
              <w:t>%</w:t>
            </w:r>
            <w:r>
              <w:rPr>
                <w:rFonts w:hint="eastAsia" w:ascii="宋体" w:hAnsi="宋体" w:cs="宋体"/>
                <w:color w:val="auto"/>
              </w:rPr>
              <w:t>×</w:t>
            </w:r>
            <w:r>
              <w:rPr>
                <w:rFonts w:ascii="宋体" w:hAnsi="宋体" w:cs="宋体"/>
                <w:color w:val="auto"/>
              </w:rPr>
              <w:t>100</w:t>
            </w:r>
            <w:r>
              <w:rPr>
                <w:rFonts w:hint="eastAsia" w:ascii="宋体" w:hAnsi="宋体" w:cs="宋体"/>
                <w:color w:val="auto"/>
              </w:rPr>
              <w:t>。</w:t>
            </w:r>
          </w:p>
        </w:tc>
        <w:tc>
          <w:tcPr>
            <w:tcW w:w="1925" w:type="dxa"/>
            <w:vAlign w:val="center"/>
          </w:tcPr>
          <w:p>
            <w:pPr>
              <w:rPr>
                <w:rFonts w:ascii="宋体" w:cs="宋体"/>
                <w:color w:val="auto"/>
              </w:rPr>
            </w:pPr>
            <w:r>
              <w:rPr>
                <w:rFonts w:hint="eastAsia" w:ascii="宋体" w:hAnsi="宋体" w:cs="宋体"/>
                <w:color w:val="auto"/>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16" w:type="dxa"/>
            <w:gridSpan w:val="5"/>
            <w:vAlign w:val="center"/>
          </w:tcPr>
          <w:p>
            <w:pPr>
              <w:rPr>
                <w:rFonts w:ascii="宋体" w:hAnsi="宋体" w:cs="宋体"/>
                <w:color w:val="auto"/>
              </w:rPr>
            </w:pPr>
            <w:r>
              <w:rPr>
                <w:rFonts w:hint="eastAsia" w:ascii="宋体" w:hAnsi="宋体" w:cs="宋体"/>
                <w:color w:val="auto"/>
              </w:rPr>
              <w:t>二、供应商综合实力、技术（</w:t>
            </w:r>
            <w:r>
              <w:rPr>
                <w:rFonts w:hint="eastAsia" w:ascii="宋体" w:hAnsi="宋体" w:cs="宋体"/>
                <w:color w:val="auto"/>
                <w:lang w:val="en-US" w:eastAsia="zh-CN"/>
              </w:rPr>
              <w:t>30</w:t>
            </w:r>
            <w:r>
              <w:rPr>
                <w:rFonts w:hint="eastAsia" w:ascii="宋体" w:hAnsi="宋体" w:cs="宋体"/>
                <w:color w:val="auto"/>
              </w:rPr>
              <w:t>分）</w:t>
            </w:r>
            <w:r>
              <w:rPr>
                <w:rFonts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62" w:type="dxa"/>
            <w:vAlign w:val="center"/>
          </w:tcPr>
          <w:p>
            <w:pPr>
              <w:rPr>
                <w:rFonts w:ascii="宋体" w:hAnsi="宋体" w:cs="宋体"/>
                <w:color w:val="auto"/>
              </w:rPr>
            </w:pPr>
            <w:r>
              <w:rPr>
                <w:rFonts w:ascii="宋体" w:hAnsi="宋体" w:cs="宋体"/>
                <w:color w:val="auto"/>
              </w:rPr>
              <w:t>2</w:t>
            </w:r>
          </w:p>
        </w:tc>
        <w:tc>
          <w:tcPr>
            <w:tcW w:w="1134" w:type="dxa"/>
            <w:vAlign w:val="center"/>
          </w:tcPr>
          <w:p>
            <w:pPr>
              <w:rPr>
                <w:rFonts w:hint="default" w:ascii="宋体" w:eastAsia="宋体" w:cs="宋体"/>
                <w:color w:val="auto"/>
                <w:lang w:val="en-US" w:eastAsia="zh-CN"/>
              </w:rPr>
            </w:pPr>
            <w:r>
              <w:rPr>
                <w:rFonts w:hint="eastAsia" w:ascii="宋体" w:hAnsi="宋体" w:cs="宋体"/>
                <w:color w:val="auto"/>
                <w:szCs w:val="21"/>
                <w:lang w:val="en-US" w:eastAsia="zh-CN"/>
              </w:rPr>
              <w:t>质保期承诺及后期服务</w:t>
            </w:r>
          </w:p>
        </w:tc>
        <w:tc>
          <w:tcPr>
            <w:tcW w:w="766" w:type="dxa"/>
            <w:vAlign w:val="center"/>
          </w:tcPr>
          <w:p>
            <w:pPr>
              <w:rPr>
                <w:rFonts w:ascii="宋体" w:cs="宋体"/>
                <w:color w:val="auto"/>
              </w:rPr>
            </w:pPr>
            <w:r>
              <w:rPr>
                <w:rFonts w:ascii="宋体" w:hAnsi="宋体" w:cs="宋体"/>
                <w:color w:val="auto"/>
              </w:rPr>
              <w:t>10</w:t>
            </w:r>
            <w:r>
              <w:rPr>
                <w:rFonts w:hint="eastAsia" w:ascii="宋体" w:hAnsi="宋体" w:cs="宋体"/>
                <w:color w:val="auto"/>
              </w:rPr>
              <w:t>分</w:t>
            </w:r>
          </w:p>
        </w:tc>
        <w:tc>
          <w:tcPr>
            <w:tcW w:w="4129" w:type="dxa"/>
            <w:vAlign w:val="center"/>
          </w:tcPr>
          <w:p>
            <w:pPr>
              <w:rPr>
                <w:rFonts w:hint="default" w:ascii="宋体" w:eastAsia="宋体" w:cs="宋体"/>
                <w:color w:val="auto"/>
                <w:lang w:val="en-US" w:eastAsia="zh-CN"/>
              </w:rPr>
            </w:pPr>
            <w:r>
              <w:rPr>
                <w:rFonts w:hint="eastAsia" w:ascii="宋体" w:cs="宋体"/>
                <w:color w:val="auto"/>
                <w:lang w:val="en-US" w:eastAsia="zh-CN"/>
              </w:rPr>
              <w:t>根据能否提供及时优质的保修服务，质量保证、应急保修时间安排及后期服务承诺，经专家评委评审后承诺合理得10分，一般得5分，未提供不得分。</w:t>
            </w:r>
          </w:p>
        </w:tc>
        <w:tc>
          <w:tcPr>
            <w:tcW w:w="1925" w:type="dxa"/>
            <w:vAlign w:val="center"/>
          </w:tcPr>
          <w:p>
            <w:pPr>
              <w:autoSpaceDE w:val="0"/>
              <w:autoSpaceDN w:val="0"/>
              <w:adjustRightInd w:val="0"/>
              <w:jc w:val="left"/>
              <w:rPr>
                <w:rFonts w:hint="eastAsia" w:ascii="宋体" w:hAnsi="宋体" w:eastAsia="宋体" w:cs="宋体"/>
                <w:color w:val="auto"/>
                <w:szCs w:val="21"/>
                <w:lang w:eastAsia="zh-CN"/>
              </w:rPr>
            </w:pPr>
            <w:r>
              <w:rPr>
                <w:rFonts w:hint="eastAsia" w:ascii="宋体" w:hAnsi="宋体" w:cs="宋体"/>
                <w:color w:val="auto"/>
                <w:szCs w:val="21"/>
              </w:rPr>
              <w:t>提供</w:t>
            </w:r>
            <w:r>
              <w:rPr>
                <w:rFonts w:hint="eastAsia" w:ascii="宋体" w:hAnsi="宋体" w:cs="宋体"/>
                <w:color w:val="auto"/>
                <w:szCs w:val="21"/>
                <w:lang w:val="en-US" w:eastAsia="zh-CN"/>
              </w:rPr>
              <w:t>承诺原件法人签字并</w:t>
            </w:r>
            <w:r>
              <w:rPr>
                <w:rFonts w:hint="eastAsia" w:ascii="宋体" w:hAnsi="宋体" w:cs="宋体"/>
                <w:color w:val="auto"/>
                <w:szCs w:val="21"/>
              </w:rPr>
              <w:t>加盖公章</w:t>
            </w:r>
            <w:r>
              <w:rPr>
                <w:rFonts w:hint="eastAsia" w:ascii="宋体" w:hAnsi="宋体" w:cs="宋体"/>
                <w:color w:val="auto"/>
                <w:szCs w:val="21"/>
                <w:lang w:eastAsia="zh-CN"/>
              </w:rPr>
              <w:t>。</w:t>
            </w:r>
          </w:p>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restart"/>
            <w:vAlign w:val="center"/>
          </w:tcPr>
          <w:p>
            <w:pPr>
              <w:rPr>
                <w:rFonts w:ascii="宋体" w:hAnsi="宋体" w:cs="宋体"/>
                <w:color w:val="auto"/>
              </w:rPr>
            </w:pPr>
            <w:r>
              <w:rPr>
                <w:rFonts w:ascii="宋体" w:hAnsi="宋体" w:cs="宋体"/>
                <w:color w:val="auto"/>
              </w:rPr>
              <w:t>3</w:t>
            </w:r>
          </w:p>
        </w:tc>
        <w:tc>
          <w:tcPr>
            <w:tcW w:w="1134" w:type="dxa"/>
            <w:vMerge w:val="restart"/>
            <w:vAlign w:val="center"/>
          </w:tcPr>
          <w:p>
            <w:pPr>
              <w:rPr>
                <w:rFonts w:ascii="宋体" w:cs="宋体"/>
                <w:color w:val="auto"/>
              </w:rPr>
            </w:pPr>
            <w:r>
              <w:rPr>
                <w:rFonts w:hint="eastAsia" w:ascii="宋体" w:hAnsi="宋体" w:cs="宋体"/>
                <w:color w:val="auto"/>
                <w:kern w:val="0"/>
                <w:szCs w:val="21"/>
              </w:rPr>
              <w:t>项目实施方案和管理措施</w:t>
            </w:r>
          </w:p>
        </w:tc>
        <w:tc>
          <w:tcPr>
            <w:tcW w:w="766" w:type="dxa"/>
            <w:vMerge w:val="restart"/>
            <w:vAlign w:val="center"/>
          </w:tcPr>
          <w:p>
            <w:pPr>
              <w:rPr>
                <w:rFonts w:ascii="宋体" w:cs="宋体"/>
                <w:color w:val="auto"/>
              </w:rPr>
            </w:pPr>
            <w:r>
              <w:rPr>
                <w:rFonts w:ascii="宋体" w:hAnsi="宋体" w:cs="宋体"/>
                <w:color w:val="auto"/>
              </w:rPr>
              <w:t>2</w:t>
            </w:r>
            <w:r>
              <w:rPr>
                <w:rFonts w:hint="eastAsia" w:ascii="宋体" w:hAnsi="宋体" w:cs="宋体"/>
                <w:color w:val="auto"/>
                <w:lang w:val="en-US" w:eastAsia="zh-CN"/>
              </w:rPr>
              <w:t>0</w:t>
            </w:r>
            <w:r>
              <w:rPr>
                <w:rFonts w:ascii="宋体" w:hAnsi="宋体" w:cs="宋体"/>
                <w:color w:val="auto"/>
              </w:rPr>
              <w:t>分</w:t>
            </w:r>
          </w:p>
        </w:tc>
        <w:tc>
          <w:tcPr>
            <w:tcW w:w="4129" w:type="dxa"/>
            <w:vAlign w:val="center"/>
          </w:tcPr>
          <w:p>
            <w:pPr>
              <w:rPr>
                <w:rFonts w:ascii="宋体" w:cs="宋体"/>
                <w:color w:val="auto"/>
              </w:rPr>
            </w:pPr>
            <w:r>
              <w:rPr>
                <w:rFonts w:hint="eastAsia" w:ascii="宋体" w:hAnsi="宋体" w:cs="宋体"/>
                <w:color w:val="auto"/>
                <w:kern w:val="0"/>
                <w:szCs w:val="21"/>
              </w:rPr>
              <w:t>根据投标人为</w:t>
            </w:r>
            <w:r>
              <w:rPr>
                <w:rFonts w:hint="eastAsia" w:ascii="宋体" w:hAnsi="宋体" w:cs="宋体"/>
                <w:bCs/>
                <w:color w:val="auto"/>
                <w:kern w:val="0"/>
                <w:szCs w:val="21"/>
              </w:rPr>
              <w:t>定点工程项目制定的总体实施方案、成立的管理机构和制定的管理措施、等进行打分</w:t>
            </w:r>
            <w:r>
              <w:rPr>
                <w:rFonts w:hint="eastAsia" w:ascii="宋体" w:hAnsi="宋体" w:cs="宋体"/>
                <w:color w:val="auto"/>
                <w:kern w:val="0"/>
              </w:rPr>
              <w:t>：</w:t>
            </w:r>
            <w:r>
              <w:rPr>
                <w:rFonts w:ascii="宋体" w:cs="宋体"/>
                <w:color w:val="auto"/>
              </w:rPr>
              <w:t xml:space="preserve"> </w:t>
            </w:r>
          </w:p>
        </w:tc>
        <w:tc>
          <w:tcPr>
            <w:tcW w:w="1925" w:type="dxa"/>
            <w:vAlign w:val="center"/>
          </w:tcPr>
          <w:p>
            <w:pPr>
              <w:rPr>
                <w:rFonts w:ascii="宋体" w:cs="宋体"/>
                <w:color w:val="auto"/>
              </w:rPr>
            </w:pPr>
            <w:r>
              <w:rPr>
                <w:rFonts w:hint="eastAsia" w:ascii="宋体" w:hAnsi="宋体"/>
                <w:bCs/>
                <w:color w:val="auto"/>
              </w:rPr>
              <w:t>由各评委按方案及措施的内容分别进行评分，各评委给各投标人评分的算术平均值，即为各投标人该部分的最后得分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continue"/>
            <w:vAlign w:val="center"/>
          </w:tcPr>
          <w:p>
            <w:pPr>
              <w:rPr>
                <w:rFonts w:ascii="宋体" w:hAnsi="宋体" w:cs="宋体"/>
                <w:color w:val="auto"/>
              </w:rPr>
            </w:pPr>
          </w:p>
        </w:tc>
        <w:tc>
          <w:tcPr>
            <w:tcW w:w="1134" w:type="dxa"/>
            <w:vMerge w:val="continue"/>
            <w:vAlign w:val="center"/>
          </w:tcPr>
          <w:p>
            <w:pPr>
              <w:rPr>
                <w:rFonts w:ascii="宋体" w:cs="宋体"/>
                <w:color w:val="auto"/>
              </w:rPr>
            </w:pPr>
          </w:p>
        </w:tc>
        <w:tc>
          <w:tcPr>
            <w:tcW w:w="766" w:type="dxa"/>
            <w:vMerge w:val="continue"/>
            <w:vAlign w:val="center"/>
          </w:tcPr>
          <w:p>
            <w:pPr>
              <w:rPr>
                <w:rFonts w:ascii="宋体" w:cs="宋体"/>
                <w:color w:val="auto"/>
              </w:rPr>
            </w:pPr>
          </w:p>
        </w:tc>
        <w:tc>
          <w:tcPr>
            <w:tcW w:w="4129" w:type="dxa"/>
            <w:vAlign w:val="center"/>
          </w:tcPr>
          <w:p>
            <w:pPr>
              <w:rPr>
                <w:rFonts w:ascii="宋体" w:cs="宋体"/>
                <w:color w:val="auto"/>
              </w:rPr>
            </w:pPr>
            <w:r>
              <w:rPr>
                <w:rFonts w:hint="eastAsia" w:ascii="宋体" w:hAnsi="宋体" w:cs="宋体"/>
                <w:color w:val="auto"/>
                <w:kern w:val="0"/>
                <w:szCs w:val="21"/>
              </w:rPr>
              <w:t>根据投标人服务承诺情况，包括但不限于工期保证措施、质量保证措施、安全文明保证措施、保证环保检测合格措施、对民工工资与材料款发放措施等进行打分。</w:t>
            </w:r>
          </w:p>
        </w:tc>
        <w:tc>
          <w:tcPr>
            <w:tcW w:w="1925" w:type="dxa"/>
            <w:vAlign w:val="center"/>
          </w:tcPr>
          <w:p>
            <w:pPr>
              <w:rPr>
                <w:rFonts w:ascii="宋体" w:cs="宋体"/>
                <w:color w:val="auto"/>
              </w:rPr>
            </w:pPr>
            <w:r>
              <w:rPr>
                <w:rFonts w:hint="eastAsia" w:ascii="宋体" w:hAnsi="宋体"/>
                <w:bCs/>
                <w:color w:val="auto"/>
              </w:rPr>
              <w:t>由各评委按评分细则分别进行评分，各评委给各投标人评分的算术平均值，即为各投标人该部分的最后得分</w:t>
            </w:r>
          </w:p>
        </w:tc>
      </w:tr>
    </w:tbl>
    <w:p>
      <w:pPr>
        <w:pStyle w:val="13"/>
        <w:ind w:firstLine="0"/>
        <w:rPr>
          <w:color w:val="auto"/>
        </w:rPr>
      </w:pPr>
    </w:p>
    <w:p>
      <w:pPr>
        <w:tabs>
          <w:tab w:val="left" w:pos="5940"/>
        </w:tabs>
        <w:snapToGrid w:val="0"/>
        <w:spacing w:before="156" w:beforeLines="50" w:line="360" w:lineRule="auto"/>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1、评分细则中要求提供的证明文件及资料等在响应文件中提供复印件，要求“原件核查”的须在投标截止前将相关原件或公证件带至开评标现场并按要求提交评委会核查。</w:t>
      </w:r>
    </w:p>
    <w:p>
      <w:pPr>
        <w:tabs>
          <w:tab w:val="left" w:pos="5940"/>
        </w:tabs>
        <w:snapToGrid w:val="0"/>
        <w:spacing w:before="156" w:beforeLines="50" w:line="360" w:lineRule="auto"/>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2、评审时，供应商未能按以上要求提供相应证明（复印件和原件、公证件）的，不作为评审依据，不得分。</w:t>
      </w:r>
    </w:p>
    <w:p>
      <w:pPr>
        <w:pStyle w:val="7"/>
        <w:spacing w:before="156" w:beforeLines="50" w:line="360" w:lineRule="auto"/>
        <w:ind w:firstLine="0" w:firstLineChars="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bCs/>
          <w:color w:val="auto"/>
          <w:szCs w:val="24"/>
        </w:rPr>
        <w:t>3、为便于评分，请供应商按评分表样式，逐条列出证明材料所在页码，格式自定。</w:t>
      </w:r>
    </w:p>
    <w:p>
      <w:pPr>
        <w:pStyle w:val="13"/>
        <w:ind w:firstLine="0"/>
        <w:rPr>
          <w:rFonts w:asciiTheme="minorEastAsia" w:hAnsiTheme="minorEastAsia" w:eastAsiaTheme="minorEastAsia" w:cstheme="minorEastAsia"/>
          <w:color w:val="auto"/>
          <w:sz w:val="24"/>
          <w:szCs w:val="24"/>
        </w:rPr>
      </w:pPr>
    </w:p>
    <w:p>
      <w:pPr>
        <w:pStyle w:val="3"/>
        <w:numPr>
          <w:ilvl w:val="0"/>
          <w:numId w:val="0"/>
        </w:numPr>
        <w:tabs>
          <w:tab w:val="left" w:pos="0"/>
        </w:tabs>
        <w:autoSpaceDE w:val="0"/>
        <w:autoSpaceDN w:val="0"/>
        <w:spacing w:before="0" w:line="360" w:lineRule="auto"/>
        <w:ind w:left="851"/>
        <w:rPr>
          <w:rFonts w:ascii="宋体" w:hAnsi="宋体" w:eastAsia="宋体"/>
          <w:color w:val="auto"/>
          <w:sz w:val="28"/>
          <w:szCs w:val="28"/>
        </w:rPr>
      </w:pPr>
      <w:bookmarkStart w:id="78" w:name="_Toc45823536"/>
      <w:r>
        <w:rPr>
          <w:rFonts w:hint="eastAsia" w:ascii="宋体" w:hAnsi="宋体" w:eastAsia="宋体"/>
          <w:color w:val="auto"/>
          <w:sz w:val="28"/>
          <w:szCs w:val="28"/>
        </w:rPr>
        <w:t>第九章  合同主要条款</w:t>
      </w:r>
      <w:bookmarkEnd w:id="78"/>
    </w:p>
    <w:p>
      <w:pPr>
        <w:tabs>
          <w:tab w:val="left" w:pos="0"/>
        </w:tabs>
        <w:adjustRightInd w:val="0"/>
        <w:snapToGrid w:val="0"/>
        <w:spacing w:line="360" w:lineRule="auto"/>
        <w:ind w:left="420"/>
        <w:rPr>
          <w:rFonts w:ascii="宋体" w:hAnsi="宋体"/>
          <w:color w:val="auto"/>
          <w:szCs w:val="21"/>
        </w:rPr>
      </w:pPr>
      <w:bookmarkStart w:id="79" w:name="_Toc296890982"/>
      <w:bookmarkStart w:id="80" w:name="_Toc296503025"/>
      <w:bookmarkStart w:id="81" w:name="_Toc351203480"/>
      <w:bookmarkStart w:id="82" w:name="_Toc351203632"/>
      <w:r>
        <w:rPr>
          <w:rFonts w:hint="eastAsia" w:ascii="宋体" w:hAnsi="宋体"/>
          <w:color w:val="auto"/>
          <w:szCs w:val="21"/>
        </w:rPr>
        <w:t>建设工程施工合同采用合同示范文本(GF-2017-0201)</w:t>
      </w:r>
    </w:p>
    <w:p>
      <w:pPr>
        <w:tabs>
          <w:tab w:val="left" w:pos="0"/>
        </w:tabs>
        <w:adjustRightInd w:val="0"/>
        <w:snapToGrid w:val="0"/>
        <w:spacing w:line="360" w:lineRule="auto"/>
        <w:rPr>
          <w:rFonts w:ascii="宋体" w:hAnsi="宋体"/>
          <w:color w:val="auto"/>
          <w:szCs w:val="21"/>
        </w:rPr>
      </w:pPr>
      <w:r>
        <w:rPr>
          <w:rFonts w:hint="eastAsia" w:ascii="宋体" w:hAnsi="宋体"/>
          <w:color w:val="auto"/>
          <w:szCs w:val="21"/>
        </w:rPr>
        <w:t>（一）协议书</w:t>
      </w:r>
    </w:p>
    <w:p>
      <w:pPr>
        <w:tabs>
          <w:tab w:val="left" w:pos="0"/>
        </w:tabs>
        <w:adjustRightInd w:val="0"/>
        <w:snapToGrid w:val="0"/>
        <w:spacing w:line="360" w:lineRule="auto"/>
        <w:rPr>
          <w:rFonts w:ascii="宋体" w:hAnsi="宋体"/>
          <w:color w:val="auto"/>
          <w:szCs w:val="21"/>
        </w:rPr>
      </w:pPr>
      <w:r>
        <w:rPr>
          <w:rFonts w:hint="eastAsia" w:ascii="宋体" w:hAnsi="宋体"/>
          <w:color w:val="auto"/>
          <w:szCs w:val="21"/>
        </w:rPr>
        <w:t>（二）通用条款</w:t>
      </w:r>
    </w:p>
    <w:p>
      <w:pPr>
        <w:adjustRightInd w:val="0"/>
        <w:snapToGrid w:val="0"/>
        <w:spacing w:after="312" w:afterLines="100" w:line="360" w:lineRule="auto"/>
        <w:rPr>
          <w:rFonts w:ascii="宋体" w:hAnsi="宋体"/>
          <w:color w:val="auto"/>
          <w:szCs w:val="21"/>
        </w:rPr>
      </w:pPr>
      <w:r>
        <w:rPr>
          <w:rFonts w:hint="eastAsia" w:ascii="宋体" w:hAnsi="宋体"/>
          <w:color w:val="auto"/>
          <w:szCs w:val="21"/>
        </w:rPr>
        <w:t>（三）专用条款</w:t>
      </w:r>
    </w:p>
    <w:p>
      <w:pPr>
        <w:adjustRightInd w:val="0"/>
        <w:snapToGrid w:val="0"/>
        <w:spacing w:line="360" w:lineRule="auto"/>
        <w:jc w:val="center"/>
        <w:rPr>
          <w:rFonts w:ascii="宋体" w:hAnsi="宋体"/>
          <w:color w:val="auto"/>
          <w:sz w:val="32"/>
          <w:szCs w:val="32"/>
        </w:rPr>
      </w:pPr>
      <w:r>
        <w:rPr>
          <w:rFonts w:ascii="宋体" w:hAnsi="宋体"/>
          <w:color w:val="auto"/>
          <w:sz w:val="32"/>
          <w:szCs w:val="32"/>
        </w:rPr>
        <w:t>第一部分 合同协议书</w:t>
      </w:r>
      <w:bookmarkEnd w:id="79"/>
      <w:bookmarkEnd w:id="80"/>
      <w:bookmarkEnd w:id="81"/>
    </w:p>
    <w:p>
      <w:pPr>
        <w:adjustRightInd w:val="0"/>
        <w:snapToGrid w:val="0"/>
        <w:spacing w:line="360" w:lineRule="auto"/>
        <w:rPr>
          <w:rFonts w:ascii="宋体" w:hAnsi="宋体"/>
          <w:b/>
          <w:color w:val="auto"/>
          <w:sz w:val="24"/>
          <w:u w:val="single"/>
        </w:rPr>
      </w:pPr>
      <w:r>
        <w:rPr>
          <w:rFonts w:ascii="宋体" w:hAnsi="宋体"/>
          <w:b/>
          <w:color w:val="auto"/>
          <w:sz w:val="24"/>
        </w:rPr>
        <w:t>发包人（全称）：</w:t>
      </w:r>
      <w:r>
        <w:rPr>
          <w:rFonts w:hint="eastAsia" w:ascii="宋体" w:hAnsi="宋体"/>
          <w:bCs/>
          <w:color w:val="auto"/>
          <w:sz w:val="24"/>
        </w:rPr>
        <w:t>常州市天宁区青龙街道办事处</w:t>
      </w:r>
    </w:p>
    <w:p>
      <w:pPr>
        <w:adjustRightInd w:val="0"/>
        <w:snapToGrid w:val="0"/>
        <w:spacing w:line="360" w:lineRule="auto"/>
        <w:rPr>
          <w:rFonts w:ascii="宋体" w:hAnsi="宋体"/>
          <w:b/>
          <w:color w:val="auto"/>
          <w:sz w:val="24"/>
          <w:u w:val="single"/>
        </w:rPr>
      </w:pPr>
      <w:r>
        <w:rPr>
          <w:rFonts w:ascii="宋体" w:hAnsi="宋体"/>
          <w:b/>
          <w:color w:val="auto"/>
          <w:sz w:val="24"/>
        </w:rPr>
        <w:t>承包人（全称）：</w:t>
      </w:r>
      <w:r>
        <w:rPr>
          <w:rFonts w:hint="eastAsia" w:ascii="宋体" w:hAnsi="宋体"/>
          <w:b/>
          <w:color w:val="auto"/>
          <w:sz w:val="24"/>
          <w:u w:val="single"/>
        </w:rPr>
        <w:t xml:space="preserve">                          </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根据《中华人民共和国合同法》、《中华人民共和国建筑法》及有关法律规定，遵循平等、自愿、公平和诚实信用的原则，双方就</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项目施工及有关事项协商一致</w:t>
      </w:r>
      <w:r>
        <w:rPr>
          <w:rFonts w:hint="eastAsia" w:ascii="宋体" w:hAnsi="宋体"/>
          <w:color w:val="auto"/>
          <w:sz w:val="24"/>
        </w:rPr>
        <w:t>，</w:t>
      </w:r>
      <w:r>
        <w:rPr>
          <w:rFonts w:ascii="宋体" w:hAnsi="宋体"/>
          <w:color w:val="auto"/>
          <w:sz w:val="24"/>
        </w:rPr>
        <w:t>共同达成如下协议：</w:t>
      </w:r>
    </w:p>
    <w:p>
      <w:pPr>
        <w:adjustRightInd w:val="0"/>
        <w:snapToGrid w:val="0"/>
        <w:spacing w:line="360" w:lineRule="auto"/>
        <w:rPr>
          <w:rFonts w:ascii="宋体" w:hAnsi="宋体"/>
          <w:bCs/>
          <w:color w:val="auto"/>
          <w:sz w:val="24"/>
        </w:rPr>
      </w:pPr>
      <w:r>
        <w:rPr>
          <w:rFonts w:ascii="宋体" w:hAnsi="宋体"/>
          <w:bCs/>
          <w:color w:val="auto"/>
          <w:sz w:val="24"/>
        </w:rPr>
        <w:t xml:space="preserve">   </w:t>
      </w:r>
      <w:r>
        <w:rPr>
          <w:rFonts w:ascii="宋体" w:hAnsi="宋体"/>
          <w:b/>
          <w:color w:val="auto"/>
          <w:sz w:val="24"/>
        </w:rPr>
        <w:t xml:space="preserve"> </w:t>
      </w:r>
      <w:bookmarkStart w:id="83" w:name="_Toc351203481"/>
      <w:r>
        <w:rPr>
          <w:rFonts w:ascii="宋体" w:hAnsi="宋体"/>
          <w:b/>
          <w:color w:val="auto"/>
          <w:sz w:val="24"/>
        </w:rPr>
        <w:t>一、工程概况</w:t>
      </w:r>
      <w:bookmarkEnd w:id="83"/>
    </w:p>
    <w:p>
      <w:pPr>
        <w:adjustRightInd w:val="0"/>
        <w:snapToGrid w:val="0"/>
        <w:spacing w:line="360" w:lineRule="auto"/>
        <w:ind w:firstLine="470" w:firstLineChars="196"/>
        <w:rPr>
          <w:rFonts w:ascii="宋体" w:hAnsi="宋体"/>
          <w:color w:val="auto"/>
          <w:sz w:val="24"/>
          <w:u w:val="single"/>
        </w:rPr>
      </w:pPr>
      <w:r>
        <w:rPr>
          <w:rFonts w:ascii="宋体" w:hAnsi="宋体"/>
          <w:bCs/>
          <w:color w:val="auto"/>
          <w:sz w:val="24"/>
        </w:rPr>
        <w:t>1.工程名称</w:t>
      </w:r>
      <w:r>
        <w:rPr>
          <w:rFonts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 xml:space="preserve"> </w:t>
      </w:r>
    </w:p>
    <w:p>
      <w:pPr>
        <w:adjustRightInd w:val="0"/>
        <w:snapToGrid w:val="0"/>
        <w:spacing w:line="360" w:lineRule="auto"/>
        <w:ind w:firstLine="470" w:firstLineChars="196"/>
        <w:rPr>
          <w:rFonts w:ascii="宋体" w:hAnsi="宋体"/>
          <w:bCs/>
          <w:color w:val="auto"/>
          <w:sz w:val="24"/>
        </w:rPr>
      </w:pPr>
      <w:r>
        <w:rPr>
          <w:rFonts w:ascii="宋体" w:hAnsi="宋体"/>
          <w:bCs/>
          <w:color w:val="auto"/>
          <w:sz w:val="24"/>
        </w:rPr>
        <w:t>2.工程地点</w:t>
      </w:r>
      <w:r>
        <w:rPr>
          <w:rFonts w:hint="eastAsia" w:ascii="宋体" w:hAnsi="宋体"/>
          <w:bCs/>
          <w:color w:val="auto"/>
          <w:sz w:val="24"/>
        </w:rPr>
        <w:t>：</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color w:val="auto"/>
          <w:sz w:val="24"/>
        </w:rPr>
        <w:t>。</w:t>
      </w:r>
    </w:p>
    <w:p>
      <w:pPr>
        <w:adjustRightInd w:val="0"/>
        <w:snapToGrid w:val="0"/>
        <w:spacing w:line="360" w:lineRule="auto"/>
        <w:ind w:firstLine="470" w:firstLineChars="196"/>
        <w:rPr>
          <w:rFonts w:ascii="宋体" w:hAnsi="宋体"/>
          <w:bCs/>
          <w:color w:val="auto"/>
          <w:sz w:val="24"/>
        </w:rPr>
      </w:pPr>
      <w:r>
        <w:rPr>
          <w:rFonts w:ascii="宋体" w:hAnsi="宋体"/>
          <w:bCs/>
          <w:color w:val="auto"/>
          <w:sz w:val="24"/>
        </w:rPr>
        <w:t>3.工程立项批准文号：</w:t>
      </w:r>
      <w:r>
        <w:rPr>
          <w:rFonts w:ascii="宋体" w:hAnsi="宋体"/>
          <w:color w:val="auto"/>
          <w:sz w:val="24"/>
          <w:u w:val="single"/>
        </w:rPr>
        <w:t></w:t>
      </w:r>
      <w:r>
        <w:rPr>
          <w:rFonts w:hint="eastAsia" w:ascii="宋体" w:hAnsi="宋体"/>
          <w:color w:val="auto"/>
          <w:sz w:val="24"/>
          <w:u w:val="single"/>
        </w:rPr>
        <w:t>/</w:t>
      </w:r>
      <w:r>
        <w:rPr>
          <w:rFonts w:ascii="宋体" w:hAnsi="宋体"/>
          <w:color w:val="auto"/>
          <w:sz w:val="24"/>
          <w:u w:val="single"/>
        </w:rPr>
        <w:t xml:space="preserve"> </w:t>
      </w:r>
      <w:r>
        <w:rPr>
          <w:rFonts w:ascii="宋体" w:hAnsi="宋体"/>
          <w:bCs/>
          <w:color w:val="auto"/>
          <w:sz w:val="24"/>
        </w:rPr>
        <w:t>。</w:t>
      </w:r>
    </w:p>
    <w:p>
      <w:pPr>
        <w:adjustRightInd w:val="0"/>
        <w:snapToGrid w:val="0"/>
        <w:spacing w:line="360" w:lineRule="auto"/>
        <w:ind w:firstLine="470" w:firstLineChars="196"/>
        <w:rPr>
          <w:rFonts w:ascii="宋体" w:hAnsi="宋体"/>
          <w:bCs/>
          <w:color w:val="auto"/>
          <w:sz w:val="24"/>
        </w:rPr>
      </w:pPr>
      <w:r>
        <w:rPr>
          <w:rFonts w:ascii="宋体" w:hAnsi="宋体"/>
          <w:bCs/>
          <w:color w:val="auto"/>
          <w:sz w:val="24"/>
        </w:rPr>
        <w:t>4.资金来源：</w:t>
      </w:r>
      <w:r>
        <w:rPr>
          <w:rFonts w:ascii="宋体" w:hAnsi="宋体"/>
          <w:color w:val="auto"/>
          <w:sz w:val="24"/>
          <w:u w:val="single"/>
        </w:rPr>
        <w:t></w:t>
      </w:r>
      <w:r>
        <w:rPr>
          <w:rFonts w:hint="eastAsia" w:ascii="宋体" w:hAnsi="宋体"/>
          <w:color w:val="auto"/>
          <w:sz w:val="24"/>
          <w:u w:val="single"/>
        </w:rPr>
        <w:t>/</w:t>
      </w:r>
      <w:r>
        <w:rPr>
          <w:rFonts w:ascii="宋体" w:hAnsi="宋体"/>
          <w:color w:val="auto"/>
          <w:sz w:val="24"/>
          <w:u w:val="single"/>
        </w:rPr>
        <w:t xml:space="preserve"> </w:t>
      </w:r>
      <w:r>
        <w:rPr>
          <w:rFonts w:ascii="宋体" w:hAnsi="宋体"/>
          <w:bCs/>
          <w:color w:val="auto"/>
          <w:sz w:val="24"/>
        </w:rPr>
        <w:t>。</w:t>
      </w:r>
    </w:p>
    <w:p>
      <w:pPr>
        <w:adjustRightInd w:val="0"/>
        <w:snapToGrid w:val="0"/>
        <w:spacing w:line="360" w:lineRule="auto"/>
        <w:ind w:firstLine="470" w:firstLineChars="196"/>
        <w:rPr>
          <w:rFonts w:ascii="宋体" w:hAnsi="宋体"/>
          <w:bCs/>
          <w:color w:val="auto"/>
          <w:sz w:val="24"/>
        </w:rPr>
      </w:pPr>
      <w:r>
        <w:rPr>
          <w:rFonts w:hint="eastAsia" w:ascii="宋体" w:hAnsi="宋体"/>
          <w:bCs/>
          <w:color w:val="auto"/>
          <w:sz w:val="24"/>
        </w:rPr>
        <w:t>5.工程内容：</w:t>
      </w:r>
      <w:r>
        <w:rPr>
          <w:rFonts w:ascii="宋体" w:hAnsi="宋体"/>
          <w:color w:val="auto"/>
          <w:sz w:val="24"/>
          <w:u w:val="single"/>
        </w:rPr>
        <w:t></w:t>
      </w:r>
      <w:r>
        <w:rPr>
          <w:rFonts w:hint="eastAsia" w:ascii="宋体" w:hAnsi="宋体"/>
          <w:color w:val="auto"/>
          <w:sz w:val="24"/>
          <w:u w:val="single"/>
        </w:rPr>
        <w:t>/</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adjustRightInd w:val="0"/>
        <w:snapToGrid w:val="0"/>
        <w:spacing w:line="360" w:lineRule="auto"/>
        <w:ind w:firstLine="470" w:firstLineChars="196"/>
        <w:rPr>
          <w:rFonts w:ascii="宋体" w:hAnsi="宋体"/>
          <w:bCs/>
          <w:color w:val="auto"/>
          <w:sz w:val="24"/>
        </w:rPr>
      </w:pPr>
      <w:r>
        <w:rPr>
          <w:rFonts w:hint="eastAsia" w:ascii="宋体" w:hAnsi="宋体"/>
          <w:color w:val="auto"/>
          <w:sz w:val="24"/>
        </w:rPr>
        <w:t>群体工程应附《</w:t>
      </w:r>
      <w:r>
        <w:rPr>
          <w:rFonts w:ascii="宋体" w:hAnsi="宋体"/>
          <w:color w:val="auto"/>
          <w:sz w:val="24"/>
        </w:rPr>
        <w:t>承包人承揽工程项目一览表</w:t>
      </w:r>
      <w:r>
        <w:rPr>
          <w:rFonts w:hint="eastAsia" w:ascii="宋体" w:hAnsi="宋体"/>
          <w:color w:val="auto"/>
          <w:sz w:val="24"/>
        </w:rPr>
        <w:t>》（附件1）。</w:t>
      </w:r>
    </w:p>
    <w:p>
      <w:pPr>
        <w:adjustRightInd w:val="0"/>
        <w:snapToGrid w:val="0"/>
        <w:spacing w:line="360" w:lineRule="auto"/>
        <w:ind w:firstLine="470" w:firstLineChars="196"/>
        <w:rPr>
          <w:rFonts w:ascii="宋体" w:hAnsi="宋体"/>
          <w:bCs/>
          <w:color w:val="auto"/>
          <w:sz w:val="24"/>
        </w:rPr>
      </w:pPr>
      <w:r>
        <w:rPr>
          <w:rFonts w:hint="eastAsia" w:ascii="宋体" w:hAnsi="宋体"/>
          <w:bCs/>
          <w:color w:val="auto"/>
          <w:sz w:val="24"/>
        </w:rPr>
        <w:t>6</w:t>
      </w:r>
      <w:r>
        <w:rPr>
          <w:rFonts w:ascii="宋体" w:hAnsi="宋体"/>
          <w:bCs/>
          <w:color w:val="auto"/>
          <w:sz w:val="24"/>
        </w:rPr>
        <w:t>.工程承包范围：</w:t>
      </w:r>
    </w:p>
    <w:p>
      <w:pPr>
        <w:adjustRightInd w:val="0"/>
        <w:snapToGrid w:val="0"/>
        <w:spacing w:line="360" w:lineRule="auto"/>
        <w:ind w:firstLine="480" w:firstLineChars="200"/>
        <w:rPr>
          <w:rFonts w:ascii="宋体" w:hAnsi="宋体"/>
          <w:color w:val="auto"/>
          <w:sz w:val="24"/>
        </w:rPr>
      </w:pP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w:t>
      </w:r>
      <w:r>
        <w:rPr>
          <w:rFonts w:ascii="宋体" w:hAnsi="宋体"/>
          <w:color w:val="auto"/>
          <w:sz w:val="24"/>
          <w:u w:val="single"/>
        </w:rPr>
        <w:t></w:t>
      </w:r>
      <w:r>
        <w:rPr>
          <w:rFonts w:ascii="宋体" w:hAnsi="宋体"/>
          <w:color w:val="auto"/>
          <w:sz w:val="24"/>
        </w:rPr>
        <w:t>。</w:t>
      </w:r>
    </w:p>
    <w:p>
      <w:pPr>
        <w:adjustRightInd w:val="0"/>
        <w:snapToGrid w:val="0"/>
        <w:spacing w:line="360" w:lineRule="auto"/>
        <w:rPr>
          <w:rFonts w:ascii="宋体" w:hAnsi="宋体"/>
          <w:b/>
          <w:color w:val="auto"/>
          <w:sz w:val="24"/>
        </w:rPr>
      </w:pPr>
      <w:r>
        <w:rPr>
          <w:rFonts w:ascii="宋体" w:hAnsi="宋体"/>
          <w:b/>
          <w:color w:val="auto"/>
          <w:sz w:val="24"/>
        </w:rPr>
        <w:t xml:space="preserve">   </w:t>
      </w:r>
      <w:bookmarkStart w:id="84" w:name="_Toc351203482"/>
      <w:r>
        <w:rPr>
          <w:rFonts w:ascii="宋体" w:hAnsi="宋体"/>
          <w:b/>
          <w:color w:val="auto"/>
          <w:sz w:val="24"/>
        </w:rPr>
        <w:t>二、合同工期</w:t>
      </w:r>
      <w:bookmarkEnd w:id="84"/>
    </w:p>
    <w:p>
      <w:pPr>
        <w:adjustRightInd w:val="0"/>
        <w:snapToGrid w:val="0"/>
        <w:spacing w:line="360" w:lineRule="auto"/>
        <w:ind w:firstLine="459"/>
        <w:rPr>
          <w:rFonts w:ascii="宋体" w:hAnsi="宋体"/>
          <w:color w:val="auto"/>
          <w:sz w:val="24"/>
        </w:rPr>
      </w:pPr>
      <w:r>
        <w:rPr>
          <w:rFonts w:ascii="宋体" w:hAnsi="宋体"/>
          <w:color w:val="auto"/>
          <w:sz w:val="24"/>
        </w:rPr>
        <w:t>计划开工日期：</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年</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月</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rPr>
        <w:t>日。</w:t>
      </w:r>
    </w:p>
    <w:p>
      <w:pPr>
        <w:adjustRightInd w:val="0"/>
        <w:snapToGrid w:val="0"/>
        <w:spacing w:line="360" w:lineRule="auto"/>
        <w:ind w:firstLine="459"/>
        <w:rPr>
          <w:rFonts w:ascii="宋体" w:hAnsi="宋体"/>
          <w:color w:val="auto"/>
          <w:sz w:val="24"/>
        </w:rPr>
      </w:pPr>
      <w:r>
        <w:rPr>
          <w:rFonts w:ascii="宋体" w:hAnsi="宋体"/>
          <w:color w:val="auto"/>
          <w:sz w:val="24"/>
        </w:rPr>
        <w:t>计划竣工日期：</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年</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日。</w:t>
      </w:r>
    </w:p>
    <w:p>
      <w:pPr>
        <w:adjustRightInd w:val="0"/>
        <w:snapToGrid w:val="0"/>
        <w:spacing w:line="360" w:lineRule="auto"/>
        <w:ind w:firstLine="459"/>
        <w:rPr>
          <w:rFonts w:ascii="宋体" w:hAnsi="宋体"/>
          <w:color w:val="auto"/>
          <w:sz w:val="24"/>
        </w:rPr>
      </w:pPr>
      <w:r>
        <w:rPr>
          <w:rFonts w:ascii="宋体" w:hAnsi="宋体"/>
          <w:color w:val="auto"/>
          <w:sz w:val="24"/>
        </w:rPr>
        <w:t>工期总日历天数：</w:t>
      </w:r>
      <w:r>
        <w:rPr>
          <w:rFonts w:ascii="宋体" w:hAnsi="宋体"/>
          <w:color w:val="auto"/>
          <w:sz w:val="24"/>
          <w:u w:val="single"/>
        </w:rPr>
        <w:t></w:t>
      </w:r>
      <w:r>
        <w:rPr>
          <w:rFonts w:hint="eastAsia" w:ascii="宋体" w:hAnsi="宋体"/>
          <w:color w:val="auto"/>
          <w:sz w:val="24"/>
          <w:u w:val="single"/>
        </w:rPr>
        <w:t>/</w:t>
      </w:r>
      <w:r>
        <w:rPr>
          <w:rFonts w:ascii="宋体" w:hAnsi="宋体"/>
          <w:color w:val="auto"/>
          <w:sz w:val="24"/>
          <w:u w:val="single"/>
        </w:rPr>
        <w:t></w:t>
      </w:r>
      <w:r>
        <w:rPr>
          <w:rFonts w:ascii="宋体" w:hAnsi="宋体"/>
          <w:color w:val="auto"/>
          <w:sz w:val="24"/>
        </w:rPr>
        <w:t>天。工期总日历天数与根据前述计划开竣工日期计算的工期天数不一致的，以工期总日历天数为准。</w:t>
      </w:r>
    </w:p>
    <w:p>
      <w:pPr>
        <w:adjustRightInd w:val="0"/>
        <w:snapToGrid w:val="0"/>
        <w:spacing w:line="360" w:lineRule="auto"/>
        <w:rPr>
          <w:rFonts w:ascii="宋体" w:hAnsi="宋体"/>
          <w:bCs/>
          <w:color w:val="auto"/>
          <w:sz w:val="24"/>
        </w:rPr>
      </w:pPr>
      <w:r>
        <w:rPr>
          <w:rFonts w:ascii="宋体" w:hAnsi="宋体"/>
          <w:bCs/>
          <w:color w:val="auto"/>
          <w:sz w:val="24"/>
        </w:rPr>
        <w:t xml:space="preserve">  </w:t>
      </w:r>
      <w:r>
        <w:rPr>
          <w:rFonts w:ascii="宋体" w:hAnsi="宋体"/>
          <w:b/>
          <w:color w:val="auto"/>
          <w:sz w:val="24"/>
        </w:rPr>
        <w:t xml:space="preserve">  </w:t>
      </w:r>
      <w:bookmarkStart w:id="85" w:name="_Toc351203483"/>
      <w:r>
        <w:rPr>
          <w:rFonts w:ascii="宋体" w:hAnsi="宋体"/>
          <w:b/>
          <w:color w:val="auto"/>
          <w:sz w:val="24"/>
        </w:rPr>
        <w:t>三、质量标准</w:t>
      </w:r>
      <w:bookmarkEnd w:id="85"/>
    </w:p>
    <w:p>
      <w:pPr>
        <w:adjustRightInd w:val="0"/>
        <w:snapToGrid w:val="0"/>
        <w:spacing w:line="360" w:lineRule="auto"/>
        <w:ind w:firstLine="459"/>
        <w:rPr>
          <w:rFonts w:ascii="宋体" w:hAnsi="宋体"/>
          <w:color w:val="auto"/>
          <w:sz w:val="24"/>
        </w:rPr>
      </w:pPr>
      <w:r>
        <w:rPr>
          <w:rFonts w:ascii="宋体" w:hAnsi="宋体"/>
          <w:color w:val="auto"/>
          <w:sz w:val="24"/>
        </w:rPr>
        <w:t>工程质量符合</w:t>
      </w:r>
      <w:r>
        <w:rPr>
          <w:rFonts w:hint="eastAsia" w:ascii="宋体" w:hAnsi="宋体"/>
          <w:color w:val="auto"/>
          <w:sz w:val="24"/>
          <w:u w:val="single"/>
        </w:rPr>
        <w:t>合格</w:t>
      </w:r>
      <w:r>
        <w:rPr>
          <w:rFonts w:ascii="宋体" w:hAnsi="宋体"/>
          <w:color w:val="auto"/>
          <w:sz w:val="24"/>
        </w:rPr>
        <w:t>标准。</w:t>
      </w:r>
    </w:p>
    <w:p>
      <w:pPr>
        <w:adjustRightInd w:val="0"/>
        <w:snapToGrid w:val="0"/>
        <w:spacing w:line="360" w:lineRule="auto"/>
        <w:rPr>
          <w:rFonts w:ascii="宋体" w:hAnsi="宋体"/>
          <w:bCs/>
          <w:color w:val="auto"/>
          <w:sz w:val="24"/>
        </w:rPr>
      </w:pPr>
      <w:r>
        <w:rPr>
          <w:rFonts w:ascii="宋体" w:hAnsi="宋体"/>
          <w:bCs/>
          <w:color w:val="auto"/>
          <w:sz w:val="24"/>
        </w:rPr>
        <w:t xml:space="preserve">   </w:t>
      </w:r>
      <w:r>
        <w:rPr>
          <w:rFonts w:ascii="宋体" w:hAnsi="宋体"/>
          <w:b/>
          <w:color w:val="auto"/>
          <w:sz w:val="24"/>
        </w:rPr>
        <w:t xml:space="preserve"> </w:t>
      </w:r>
      <w:bookmarkStart w:id="86" w:name="_Toc351203484"/>
      <w:r>
        <w:rPr>
          <w:rFonts w:ascii="宋体" w:hAnsi="宋体"/>
          <w:b/>
          <w:color w:val="auto"/>
          <w:sz w:val="24"/>
        </w:rPr>
        <w:t>四、签约合同价与合同价格形式</w:t>
      </w:r>
      <w:bookmarkEnd w:id="86"/>
      <w:r>
        <w:rPr>
          <w:rFonts w:ascii="宋体" w:hAnsi="宋体"/>
          <w:b/>
          <w:color w:val="auto"/>
          <w:sz w:val="24"/>
        </w:rPr>
        <w:tab/>
      </w:r>
    </w:p>
    <w:p>
      <w:pPr>
        <w:adjustRightInd w:val="0"/>
        <w:snapToGrid w:val="0"/>
        <w:spacing w:line="360" w:lineRule="auto"/>
        <w:ind w:firstLine="480" w:firstLineChars="200"/>
        <w:rPr>
          <w:rFonts w:ascii="宋体" w:hAnsi="宋体"/>
          <w:color w:val="auto"/>
          <w:sz w:val="24"/>
          <w:u w:val="single"/>
        </w:rPr>
      </w:pPr>
      <w:r>
        <w:rPr>
          <w:rFonts w:ascii="宋体" w:hAnsi="宋体"/>
          <w:color w:val="auto"/>
          <w:sz w:val="24"/>
        </w:rPr>
        <w:t>1.签约合同价为</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ind w:firstLine="480" w:firstLineChars="200"/>
        <w:rPr>
          <w:rFonts w:ascii="宋体" w:hAnsi="宋体"/>
          <w:color w:val="auto"/>
          <w:sz w:val="24"/>
        </w:rPr>
      </w:pPr>
      <w:r>
        <w:rPr>
          <w:rFonts w:ascii="宋体" w:hAnsi="宋体"/>
          <w:color w:val="auto"/>
          <w:sz w:val="24"/>
        </w:rPr>
        <w:t>2.合同价格形式：</w:t>
      </w:r>
      <w:r>
        <w:rPr>
          <w:rFonts w:hint="eastAsia" w:ascii="宋体" w:hAnsi="宋体" w:cs="MingLiU_HKSCS"/>
          <w:color w:val="auto"/>
          <w:sz w:val="24"/>
          <w:u w:val="single"/>
        </w:rPr>
        <w:t xml:space="preserve"> 固定单价</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s="MingLiU_HKSCS"/>
          <w:color w:val="auto"/>
          <w:sz w:val="24"/>
          <w:u w:val="single"/>
        </w:rPr>
        <w:t xml:space="preserve">  </w:t>
      </w:r>
      <w:r>
        <w:rPr>
          <w:rFonts w:ascii="宋体" w:hAnsi="宋体"/>
          <w:color w:val="auto"/>
          <w:sz w:val="24"/>
        </w:rPr>
        <w:t>。</w:t>
      </w:r>
    </w:p>
    <w:p>
      <w:pPr>
        <w:adjustRightInd w:val="0"/>
        <w:snapToGrid w:val="0"/>
        <w:spacing w:line="360" w:lineRule="auto"/>
        <w:rPr>
          <w:rFonts w:ascii="宋体" w:hAnsi="宋体"/>
          <w:b/>
          <w:color w:val="auto"/>
          <w:sz w:val="24"/>
        </w:rPr>
      </w:pPr>
      <w:r>
        <w:rPr>
          <w:rFonts w:ascii="宋体" w:hAnsi="宋体"/>
          <w:bCs/>
          <w:color w:val="auto"/>
          <w:sz w:val="24"/>
        </w:rPr>
        <w:t xml:space="preserve">   </w:t>
      </w:r>
      <w:r>
        <w:rPr>
          <w:rFonts w:ascii="宋体" w:hAnsi="宋体"/>
          <w:b/>
          <w:color w:val="auto"/>
          <w:sz w:val="24"/>
        </w:rPr>
        <w:t xml:space="preserve"> </w:t>
      </w:r>
      <w:bookmarkStart w:id="87" w:name="_Toc351203485"/>
      <w:r>
        <w:rPr>
          <w:rFonts w:ascii="宋体" w:hAnsi="宋体"/>
          <w:b/>
          <w:color w:val="auto"/>
          <w:sz w:val="24"/>
        </w:rPr>
        <w:t>五、</w:t>
      </w:r>
      <w:bookmarkEnd w:id="87"/>
      <w:r>
        <w:rPr>
          <w:rFonts w:ascii="宋体" w:hAnsi="宋体"/>
          <w:b/>
          <w:color w:val="auto"/>
          <w:sz w:val="24"/>
        </w:rPr>
        <w:t>项目经理</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承包人项目经理：</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adjustRightInd w:val="0"/>
        <w:snapToGrid w:val="0"/>
        <w:spacing w:line="360" w:lineRule="auto"/>
        <w:rPr>
          <w:rFonts w:ascii="宋体" w:hAnsi="宋体"/>
          <w:bCs/>
          <w:color w:val="auto"/>
          <w:sz w:val="24"/>
        </w:rPr>
      </w:pPr>
      <w:r>
        <w:rPr>
          <w:rFonts w:ascii="宋体" w:hAnsi="宋体"/>
          <w:bCs/>
          <w:color w:val="auto"/>
          <w:sz w:val="24"/>
        </w:rPr>
        <w:t xml:space="preserve"> </w:t>
      </w:r>
      <w:r>
        <w:rPr>
          <w:rFonts w:ascii="宋体" w:hAnsi="宋体"/>
          <w:b/>
          <w:color w:val="auto"/>
          <w:sz w:val="24"/>
        </w:rPr>
        <w:t xml:space="preserve">   </w:t>
      </w:r>
      <w:bookmarkStart w:id="88" w:name="_Toc351203486"/>
      <w:r>
        <w:rPr>
          <w:rFonts w:ascii="宋体" w:hAnsi="宋体"/>
          <w:b/>
          <w:color w:val="auto"/>
          <w:sz w:val="24"/>
        </w:rPr>
        <w:t>六、合同文件构成</w:t>
      </w:r>
      <w:bookmarkEnd w:id="88"/>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（1）中标通知书（如果有）；</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（3）专用合同条款及其附件；</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（4）通用合同条款；</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（5）技术标准和要求；</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（6）图纸；</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（7）已标价工程量清单或预算书；</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（8）其他合同文件。</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上述各项合同文件包括合同当事人就该项合同文件所作出的补充和修改，属于同一类内容的文件，应以最新签署的为准。</w:t>
      </w:r>
      <w:r>
        <w:rPr>
          <w:rFonts w:hint="eastAsia" w:ascii="宋体" w:hAnsi="宋体"/>
          <w:color w:val="auto"/>
          <w:sz w:val="24"/>
        </w:rPr>
        <w:t>专用合同条款及其附件须经合同当事人签字或盖章。</w:t>
      </w:r>
    </w:p>
    <w:p>
      <w:pPr>
        <w:adjustRightInd w:val="0"/>
        <w:snapToGrid w:val="0"/>
        <w:spacing w:line="360" w:lineRule="auto"/>
        <w:rPr>
          <w:rFonts w:ascii="宋体" w:hAnsi="宋体"/>
          <w:b/>
          <w:bCs/>
          <w:color w:val="auto"/>
          <w:sz w:val="24"/>
        </w:rPr>
      </w:pPr>
      <w:r>
        <w:rPr>
          <w:rFonts w:ascii="宋体" w:hAnsi="宋体"/>
          <w:b/>
          <w:bCs/>
          <w:color w:val="auto"/>
          <w:sz w:val="24"/>
        </w:rPr>
        <w:t xml:space="preserve">  </w:t>
      </w:r>
      <w:r>
        <w:rPr>
          <w:rFonts w:ascii="宋体" w:hAnsi="宋体"/>
          <w:b/>
          <w:color w:val="auto"/>
          <w:sz w:val="24"/>
        </w:rPr>
        <w:t xml:space="preserve">  </w:t>
      </w:r>
      <w:bookmarkStart w:id="89" w:name="_Toc351203487"/>
      <w:r>
        <w:rPr>
          <w:rFonts w:ascii="宋体" w:hAnsi="宋体"/>
          <w:b/>
          <w:color w:val="auto"/>
          <w:sz w:val="24"/>
        </w:rPr>
        <w:t>七、承诺</w:t>
      </w:r>
      <w:bookmarkEnd w:id="89"/>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3.发包人和承包人通过招投标形式签订合同的，双方理解并</w:t>
      </w:r>
      <w:r>
        <w:rPr>
          <w:rFonts w:hint="eastAsia" w:ascii="宋体" w:hAnsi="宋体"/>
          <w:bCs/>
          <w:color w:val="auto"/>
          <w:sz w:val="24"/>
        </w:rPr>
        <w:t>承诺</w:t>
      </w:r>
      <w:r>
        <w:rPr>
          <w:rFonts w:ascii="宋体" w:hAnsi="宋体"/>
          <w:bCs/>
          <w:color w:val="auto"/>
          <w:sz w:val="24"/>
        </w:rPr>
        <w:t>不再就同一工程另行签订与合同实质性内容相背离的协议。</w:t>
      </w:r>
    </w:p>
    <w:p>
      <w:pPr>
        <w:adjustRightInd w:val="0"/>
        <w:snapToGrid w:val="0"/>
        <w:spacing w:line="360" w:lineRule="auto"/>
        <w:rPr>
          <w:rFonts w:ascii="宋体" w:hAnsi="宋体"/>
          <w:bCs/>
          <w:color w:val="auto"/>
          <w:sz w:val="24"/>
        </w:rPr>
      </w:pPr>
      <w:bookmarkStart w:id="90" w:name="_Toc351203488"/>
      <w:r>
        <w:rPr>
          <w:rFonts w:hint="eastAsia" w:ascii="宋体" w:hAnsi="宋体"/>
          <w:b/>
          <w:color w:val="auto"/>
          <w:sz w:val="24"/>
        </w:rPr>
        <w:t xml:space="preserve">    </w:t>
      </w:r>
      <w:r>
        <w:rPr>
          <w:rFonts w:ascii="宋体" w:hAnsi="宋体"/>
          <w:b/>
          <w:color w:val="auto"/>
          <w:sz w:val="24"/>
        </w:rPr>
        <w:t>八、词语含义</w:t>
      </w:r>
      <w:bookmarkEnd w:id="90"/>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本协议书中词语含义与第二部分通用合同条款中赋予的含义相同。</w:t>
      </w:r>
    </w:p>
    <w:p>
      <w:pPr>
        <w:adjustRightInd w:val="0"/>
        <w:snapToGrid w:val="0"/>
        <w:spacing w:line="360" w:lineRule="auto"/>
        <w:rPr>
          <w:rFonts w:ascii="宋体" w:hAnsi="宋体"/>
          <w:b/>
          <w:color w:val="auto"/>
          <w:sz w:val="24"/>
        </w:rPr>
      </w:pPr>
      <w:r>
        <w:rPr>
          <w:rFonts w:ascii="宋体" w:hAnsi="宋体"/>
          <w:b/>
          <w:color w:val="auto"/>
          <w:sz w:val="24"/>
        </w:rPr>
        <w:t xml:space="preserve">    </w:t>
      </w:r>
      <w:bookmarkStart w:id="91" w:name="_Toc351203489"/>
      <w:r>
        <w:rPr>
          <w:rFonts w:ascii="宋体" w:hAnsi="宋体"/>
          <w:b/>
          <w:color w:val="auto"/>
          <w:sz w:val="24"/>
        </w:rPr>
        <w:t>九、签订时间</w:t>
      </w:r>
      <w:bookmarkEnd w:id="91"/>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本合同于</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年</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月</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日签订。</w:t>
      </w:r>
    </w:p>
    <w:p>
      <w:pPr>
        <w:adjustRightInd w:val="0"/>
        <w:snapToGrid w:val="0"/>
        <w:spacing w:line="360" w:lineRule="auto"/>
        <w:rPr>
          <w:rFonts w:ascii="宋体" w:hAnsi="宋体"/>
          <w:b/>
          <w:color w:val="auto"/>
          <w:sz w:val="24"/>
        </w:rPr>
      </w:pPr>
      <w:r>
        <w:rPr>
          <w:rFonts w:ascii="宋体" w:hAnsi="宋体"/>
          <w:b/>
          <w:color w:val="auto"/>
          <w:sz w:val="24"/>
        </w:rPr>
        <w:t xml:space="preserve">    </w:t>
      </w:r>
      <w:bookmarkStart w:id="92" w:name="_Toc351203490"/>
      <w:r>
        <w:rPr>
          <w:rFonts w:ascii="宋体" w:hAnsi="宋体"/>
          <w:b/>
          <w:color w:val="auto"/>
          <w:sz w:val="24"/>
        </w:rPr>
        <w:t>十、签订地点</w:t>
      </w:r>
      <w:bookmarkEnd w:id="92"/>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本合同在</w:t>
      </w:r>
      <w:r>
        <w:rPr>
          <w:rFonts w:ascii="宋体" w:hAnsi="宋体"/>
          <w:bCs/>
          <w:color w:val="auto"/>
          <w:sz w:val="24"/>
          <w:u w:val="single"/>
        </w:rPr>
        <w:t xml:space="preserve"> </w:t>
      </w:r>
      <w:r>
        <w:rPr>
          <w:rFonts w:hint="eastAsia" w:ascii="宋体" w:hAnsi="宋体"/>
          <w:bCs/>
          <w:color w:val="auto"/>
          <w:sz w:val="24"/>
          <w:u w:val="single"/>
        </w:rPr>
        <w:t>常州市天宁区青龙街道办事处签订</w:t>
      </w:r>
      <w:r>
        <w:rPr>
          <w:rFonts w:ascii="宋体" w:hAnsi="宋体"/>
          <w:bCs/>
          <w:color w:val="auto"/>
          <w:sz w:val="24"/>
        </w:rPr>
        <w:t>。</w:t>
      </w:r>
    </w:p>
    <w:p>
      <w:pPr>
        <w:adjustRightInd w:val="0"/>
        <w:snapToGrid w:val="0"/>
        <w:spacing w:line="360" w:lineRule="auto"/>
        <w:rPr>
          <w:rFonts w:ascii="宋体" w:hAnsi="宋体"/>
          <w:bCs/>
          <w:color w:val="auto"/>
          <w:sz w:val="24"/>
        </w:rPr>
      </w:pPr>
      <w:r>
        <w:rPr>
          <w:rFonts w:ascii="宋体" w:hAnsi="宋体"/>
          <w:bCs/>
          <w:color w:val="auto"/>
          <w:sz w:val="24"/>
        </w:rPr>
        <w:t xml:space="preserve"> </w:t>
      </w:r>
      <w:r>
        <w:rPr>
          <w:rFonts w:ascii="宋体" w:hAnsi="宋体"/>
          <w:b/>
          <w:color w:val="auto"/>
          <w:sz w:val="24"/>
        </w:rPr>
        <w:t xml:space="preserve">   </w:t>
      </w:r>
      <w:bookmarkStart w:id="93" w:name="_Toc351203491"/>
      <w:r>
        <w:rPr>
          <w:rFonts w:ascii="宋体" w:hAnsi="宋体"/>
          <w:b/>
          <w:color w:val="auto"/>
          <w:sz w:val="24"/>
        </w:rPr>
        <w:t>十一、补充协议</w:t>
      </w:r>
      <w:bookmarkEnd w:id="93"/>
    </w:p>
    <w:p>
      <w:pPr>
        <w:adjustRightInd w:val="0"/>
        <w:snapToGrid w:val="0"/>
        <w:spacing w:line="360" w:lineRule="auto"/>
        <w:ind w:firstLine="480" w:firstLineChars="200"/>
        <w:rPr>
          <w:rFonts w:ascii="宋体" w:hAnsi="宋体"/>
          <w:b/>
          <w:bCs/>
          <w:color w:val="auto"/>
          <w:sz w:val="24"/>
        </w:rPr>
      </w:pPr>
      <w:r>
        <w:rPr>
          <w:rFonts w:ascii="宋体" w:hAnsi="宋体"/>
          <w:bCs/>
          <w:color w:val="auto"/>
          <w:sz w:val="24"/>
        </w:rPr>
        <w:t>合同未尽事宜，合同当事人另行签订补充协议</w:t>
      </w:r>
      <w:r>
        <w:rPr>
          <w:rFonts w:hint="eastAsia" w:ascii="宋体" w:hAnsi="宋体"/>
          <w:bCs/>
          <w:color w:val="auto"/>
          <w:sz w:val="24"/>
        </w:rPr>
        <w:t>，</w:t>
      </w:r>
      <w:r>
        <w:rPr>
          <w:rFonts w:ascii="宋体" w:hAnsi="宋体"/>
          <w:bCs/>
          <w:color w:val="auto"/>
          <w:sz w:val="24"/>
        </w:rPr>
        <w:t>补充协议是合同的组成部分。</w:t>
      </w:r>
    </w:p>
    <w:p>
      <w:pPr>
        <w:adjustRightInd w:val="0"/>
        <w:snapToGrid w:val="0"/>
        <w:spacing w:line="360" w:lineRule="auto"/>
        <w:rPr>
          <w:rFonts w:ascii="宋体" w:hAnsi="宋体"/>
          <w:bCs/>
          <w:color w:val="auto"/>
          <w:sz w:val="24"/>
        </w:rPr>
      </w:pPr>
      <w:r>
        <w:rPr>
          <w:rFonts w:ascii="宋体" w:hAnsi="宋体"/>
          <w:bCs/>
          <w:color w:val="auto"/>
          <w:sz w:val="24"/>
        </w:rPr>
        <w:t xml:space="preserve">   </w:t>
      </w:r>
      <w:r>
        <w:rPr>
          <w:rFonts w:ascii="宋体" w:hAnsi="宋体"/>
          <w:b/>
          <w:color w:val="auto"/>
          <w:sz w:val="24"/>
        </w:rPr>
        <w:t xml:space="preserve"> </w:t>
      </w:r>
      <w:bookmarkStart w:id="94" w:name="_Toc351203492"/>
      <w:r>
        <w:rPr>
          <w:rFonts w:ascii="宋体" w:hAnsi="宋体"/>
          <w:b/>
          <w:color w:val="auto"/>
          <w:sz w:val="24"/>
        </w:rPr>
        <w:t>十二、合同生效</w:t>
      </w:r>
      <w:bookmarkEnd w:id="94"/>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本合同自</w:t>
      </w:r>
      <w:r>
        <w:rPr>
          <w:rFonts w:ascii="宋体" w:hAnsi="宋体"/>
          <w:bCs/>
          <w:color w:val="auto"/>
          <w:sz w:val="24"/>
          <w:u w:val="single"/>
        </w:rPr>
        <w:t xml:space="preserve">  </w:t>
      </w:r>
      <w:r>
        <w:rPr>
          <w:rFonts w:hint="eastAsia" w:ascii="宋体" w:hAnsi="宋体"/>
          <w:bCs/>
          <w:color w:val="auto"/>
          <w:sz w:val="24"/>
          <w:u w:val="single"/>
        </w:rPr>
        <w:t>签字、盖章</w:t>
      </w:r>
      <w:r>
        <w:rPr>
          <w:rFonts w:ascii="宋体" w:hAnsi="宋体"/>
          <w:bCs/>
          <w:color w:val="auto"/>
          <w:sz w:val="24"/>
          <w:u w:val="single"/>
        </w:rPr>
        <w:t xml:space="preserve">   </w:t>
      </w:r>
      <w:r>
        <w:rPr>
          <w:rFonts w:ascii="宋体" w:hAnsi="宋体"/>
          <w:bCs/>
          <w:color w:val="auto"/>
          <w:sz w:val="24"/>
        </w:rPr>
        <w:t>生效。</w:t>
      </w:r>
    </w:p>
    <w:p>
      <w:pPr>
        <w:adjustRightInd w:val="0"/>
        <w:snapToGrid w:val="0"/>
        <w:spacing w:line="360" w:lineRule="auto"/>
        <w:rPr>
          <w:rFonts w:ascii="宋体" w:hAnsi="宋体"/>
          <w:b/>
          <w:color w:val="auto"/>
          <w:sz w:val="24"/>
        </w:rPr>
      </w:pPr>
      <w:r>
        <w:rPr>
          <w:rFonts w:ascii="宋体" w:hAnsi="宋体"/>
          <w:b/>
          <w:color w:val="auto"/>
          <w:sz w:val="24"/>
        </w:rPr>
        <w:t xml:space="preserve">    </w:t>
      </w:r>
      <w:bookmarkStart w:id="95" w:name="_Toc351203493"/>
      <w:r>
        <w:rPr>
          <w:rFonts w:ascii="宋体" w:hAnsi="宋体"/>
          <w:b/>
          <w:color w:val="auto"/>
          <w:sz w:val="24"/>
        </w:rPr>
        <w:t>十三、合同份数</w:t>
      </w:r>
      <w:bookmarkEnd w:id="95"/>
    </w:p>
    <w:p>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本合同一式</w:t>
      </w:r>
      <w:r>
        <w:rPr>
          <w:rFonts w:ascii="宋体" w:hAnsi="宋体"/>
          <w:bCs/>
          <w:color w:val="auto"/>
          <w:sz w:val="24"/>
          <w:u w:val="single"/>
        </w:rPr>
        <w:t xml:space="preserve">  </w:t>
      </w:r>
      <w:r>
        <w:rPr>
          <w:rFonts w:hint="eastAsia" w:ascii="宋体" w:hAnsi="宋体"/>
          <w:bCs/>
          <w:color w:val="auto"/>
          <w:sz w:val="24"/>
          <w:u w:val="single"/>
        </w:rPr>
        <w:t>捌</w:t>
      </w:r>
      <w:r>
        <w:rPr>
          <w:rFonts w:ascii="宋体" w:hAnsi="宋体"/>
          <w:bCs/>
          <w:color w:val="auto"/>
          <w:sz w:val="24"/>
          <w:u w:val="single"/>
        </w:rPr>
        <w:t xml:space="preserve"> </w:t>
      </w:r>
      <w:r>
        <w:rPr>
          <w:rFonts w:ascii="宋体" w:hAnsi="宋体"/>
          <w:bCs/>
          <w:color w:val="auto"/>
          <w:sz w:val="24"/>
        </w:rPr>
        <w:t>份，均具有同等法律效力，发包人执</w:t>
      </w:r>
      <w:r>
        <w:rPr>
          <w:rFonts w:ascii="宋体" w:hAnsi="宋体"/>
          <w:bCs/>
          <w:color w:val="auto"/>
          <w:sz w:val="24"/>
          <w:u w:val="single"/>
        </w:rPr>
        <w:t xml:space="preserve">  </w:t>
      </w:r>
      <w:r>
        <w:rPr>
          <w:rFonts w:hint="eastAsia" w:ascii="宋体" w:hAnsi="宋体"/>
          <w:bCs/>
          <w:color w:val="auto"/>
          <w:sz w:val="24"/>
          <w:u w:val="single"/>
        </w:rPr>
        <w:t xml:space="preserve">肆 </w:t>
      </w:r>
      <w:r>
        <w:rPr>
          <w:rFonts w:ascii="宋体" w:hAnsi="宋体"/>
          <w:bCs/>
          <w:color w:val="auto"/>
          <w:sz w:val="24"/>
          <w:u w:val="single"/>
        </w:rPr>
        <w:t xml:space="preserve"> </w:t>
      </w:r>
      <w:r>
        <w:rPr>
          <w:rFonts w:ascii="宋体" w:hAnsi="宋体"/>
          <w:bCs/>
          <w:color w:val="auto"/>
          <w:sz w:val="24"/>
        </w:rPr>
        <w:t>份，承包人执</w:t>
      </w:r>
      <w:r>
        <w:rPr>
          <w:rFonts w:ascii="宋体" w:hAnsi="宋体"/>
          <w:bCs/>
          <w:color w:val="auto"/>
          <w:sz w:val="24"/>
          <w:u w:val="single"/>
        </w:rPr>
        <w:t xml:space="preserve"> </w:t>
      </w:r>
      <w:r>
        <w:rPr>
          <w:rFonts w:hint="eastAsia" w:ascii="宋体" w:hAnsi="宋体"/>
          <w:bCs/>
          <w:color w:val="auto"/>
          <w:sz w:val="24"/>
          <w:u w:val="single"/>
        </w:rPr>
        <w:t>肆</w:t>
      </w:r>
      <w:r>
        <w:rPr>
          <w:rFonts w:ascii="宋体" w:hAnsi="宋体"/>
          <w:bCs/>
          <w:color w:val="auto"/>
          <w:sz w:val="24"/>
          <w:u w:val="single"/>
        </w:rPr>
        <w:t xml:space="preserve"> </w:t>
      </w:r>
      <w:r>
        <w:rPr>
          <w:rFonts w:ascii="宋体" w:hAnsi="宋体"/>
          <w:bCs/>
          <w:color w:val="auto"/>
          <w:sz w:val="24"/>
        </w:rPr>
        <w:t>份。</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rPr>
          <w:rFonts w:ascii="宋体" w:hAnsi="宋体"/>
          <w:color w:val="auto"/>
          <w:sz w:val="24"/>
        </w:rPr>
      </w:pPr>
      <w:r>
        <w:rPr>
          <w:rFonts w:ascii="宋体" w:hAnsi="宋体"/>
          <w:color w:val="auto"/>
          <w:sz w:val="24"/>
        </w:rPr>
        <w:t>发包人</w:t>
      </w:r>
      <w:r>
        <w:rPr>
          <w:rFonts w:hint="eastAsia" w:ascii="宋体" w:hAnsi="宋体"/>
          <w:color w:val="auto"/>
          <w:sz w:val="24"/>
        </w:rPr>
        <w:t xml:space="preserve">：  </w:t>
      </w:r>
      <w:r>
        <w:rPr>
          <w:rFonts w:ascii="宋体" w:hAnsi="宋体"/>
          <w:color w:val="auto"/>
          <w:sz w:val="24"/>
        </w:rPr>
        <w:t>(公章)</w:t>
      </w:r>
      <w:r>
        <w:rPr>
          <w:rFonts w:hint="eastAsia" w:ascii="宋体" w:hAnsi="宋体"/>
          <w:color w:val="auto"/>
          <w:sz w:val="24"/>
        </w:rPr>
        <w:t xml:space="preserve">                             </w:t>
      </w:r>
      <w:r>
        <w:rPr>
          <w:rFonts w:ascii="宋体" w:hAnsi="宋体"/>
          <w:color w:val="auto"/>
          <w:sz w:val="24"/>
        </w:rPr>
        <w:t>承包人</w:t>
      </w:r>
      <w:r>
        <w:rPr>
          <w:rFonts w:hint="eastAsia" w:ascii="宋体" w:hAnsi="宋体"/>
          <w:color w:val="auto"/>
          <w:sz w:val="24"/>
        </w:rPr>
        <w:t xml:space="preserve">：  </w:t>
      </w:r>
      <w:r>
        <w:rPr>
          <w:rFonts w:ascii="宋体" w:hAnsi="宋体"/>
          <w:color w:val="auto"/>
          <w:sz w:val="24"/>
        </w:rPr>
        <w:t>(公章)</w:t>
      </w:r>
    </w:p>
    <w:p>
      <w:pPr>
        <w:adjustRightInd w:val="0"/>
        <w:snapToGrid w:val="0"/>
        <w:spacing w:line="360" w:lineRule="auto"/>
        <w:rPr>
          <w:rFonts w:ascii="宋体" w:hAnsi="宋体"/>
          <w:color w:val="auto"/>
          <w:sz w:val="24"/>
          <w:u w:val="single"/>
        </w:rPr>
      </w:pPr>
      <w:r>
        <w:rPr>
          <w:rFonts w:hint="eastAsia" w:ascii="宋体" w:hAnsi="宋体"/>
          <w:color w:val="auto"/>
          <w:sz w:val="24"/>
        </w:rPr>
        <w:t xml:space="preserve">                                 </w:t>
      </w:r>
    </w:p>
    <w:p>
      <w:pPr>
        <w:adjustRightInd w:val="0"/>
        <w:snapToGrid w:val="0"/>
        <w:spacing w:line="360" w:lineRule="auto"/>
        <w:rPr>
          <w:rFonts w:ascii="宋体" w:hAnsi="宋体"/>
          <w:color w:val="auto"/>
          <w:sz w:val="24"/>
        </w:rPr>
      </w:pPr>
      <w:r>
        <w:rPr>
          <w:rFonts w:hint="eastAsia" w:ascii="宋体" w:hAnsi="宋体"/>
          <w:color w:val="auto"/>
          <w:sz w:val="24"/>
        </w:rPr>
        <w:t>法定代表人或其委托代理人：                  法定代表人或其委托代理人：</w:t>
      </w:r>
    </w:p>
    <w:p>
      <w:pPr>
        <w:adjustRightInd w:val="0"/>
        <w:snapToGrid w:val="0"/>
        <w:spacing w:line="360" w:lineRule="auto"/>
        <w:rPr>
          <w:rFonts w:ascii="宋体" w:hAnsi="宋体"/>
          <w:color w:val="auto"/>
          <w:sz w:val="24"/>
        </w:rPr>
      </w:pPr>
      <w:r>
        <w:rPr>
          <w:rFonts w:hint="eastAsia" w:ascii="宋体" w:hAnsi="宋体"/>
          <w:color w:val="auto"/>
          <w:sz w:val="24"/>
        </w:rPr>
        <w:t>（签字）                                    （签字）</w:t>
      </w:r>
    </w:p>
    <w:p>
      <w:pPr>
        <w:adjustRightInd w:val="0"/>
        <w:snapToGrid w:val="0"/>
        <w:spacing w:line="360" w:lineRule="auto"/>
        <w:rPr>
          <w:rFonts w:ascii="宋体" w:hAnsi="宋体"/>
          <w:color w:val="auto"/>
          <w:sz w:val="24"/>
          <w:u w:val="single"/>
        </w:rPr>
      </w:pPr>
    </w:p>
    <w:p>
      <w:pPr>
        <w:tabs>
          <w:tab w:val="left" w:pos="4410"/>
        </w:tabs>
        <w:adjustRightInd w:val="0"/>
        <w:snapToGrid w:val="0"/>
        <w:spacing w:line="360" w:lineRule="auto"/>
        <w:rPr>
          <w:rFonts w:ascii="宋体" w:hAnsi="宋体"/>
          <w:color w:val="auto"/>
          <w:sz w:val="24"/>
        </w:rPr>
      </w:pPr>
      <w:r>
        <w:rPr>
          <w:rFonts w:hint="eastAsia" w:ascii="宋体" w:hAnsi="宋体"/>
          <w:color w:val="auto"/>
          <w:sz w:val="24"/>
        </w:rPr>
        <w:t>组织机构代码：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组织机构代码：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adjustRightInd w:val="0"/>
        <w:snapToGrid w:val="0"/>
        <w:spacing w:line="360" w:lineRule="auto"/>
        <w:rPr>
          <w:rFonts w:ascii="宋体" w:hAnsi="宋体"/>
          <w:color w:val="auto"/>
          <w:sz w:val="24"/>
        </w:rPr>
      </w:pPr>
      <w:r>
        <w:rPr>
          <w:rFonts w:ascii="宋体" w:hAnsi="宋体"/>
          <w:color w:val="auto"/>
          <w:sz w:val="24"/>
        </w:rPr>
        <w:t>地  址：</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地  址：</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邮政编码：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邮政编码：</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法定代表人：</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法定代表人：</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传  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传  真：</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电子信箱：</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电子信箱：</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开户银行：</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开户银行：</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账  号：</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 xml:space="preserve"> 账</w:t>
      </w:r>
      <w:r>
        <w:rPr>
          <w:rFonts w:hint="eastAsia" w:ascii="宋体" w:hAnsi="宋体"/>
          <w:color w:val="auto"/>
          <w:sz w:val="24"/>
        </w:rPr>
        <w:t xml:space="preserve"> </w:t>
      </w:r>
      <w:r>
        <w:rPr>
          <w:rFonts w:ascii="宋体" w:hAnsi="宋体"/>
          <w:color w:val="auto"/>
          <w:sz w:val="24"/>
        </w:rPr>
        <w:t xml:space="preserve"> 号：</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adjustRightInd w:val="0"/>
        <w:snapToGrid w:val="0"/>
        <w:spacing w:line="360" w:lineRule="auto"/>
        <w:jc w:val="center"/>
        <w:rPr>
          <w:rFonts w:ascii="宋体" w:hAnsi="宋体"/>
          <w:color w:val="auto"/>
          <w:sz w:val="32"/>
          <w:szCs w:val="32"/>
        </w:rPr>
      </w:pPr>
      <w:bookmarkStart w:id="96" w:name="_Toc351203494"/>
    </w:p>
    <w:p>
      <w:pPr>
        <w:adjustRightInd w:val="0"/>
        <w:snapToGrid w:val="0"/>
        <w:spacing w:line="360" w:lineRule="auto"/>
        <w:jc w:val="center"/>
        <w:rPr>
          <w:rFonts w:ascii="宋体" w:hAnsi="宋体"/>
          <w:color w:val="auto"/>
          <w:sz w:val="32"/>
          <w:szCs w:val="32"/>
        </w:rPr>
      </w:pPr>
    </w:p>
    <w:p>
      <w:pPr>
        <w:adjustRightInd w:val="0"/>
        <w:snapToGrid w:val="0"/>
        <w:spacing w:line="360" w:lineRule="auto"/>
        <w:jc w:val="center"/>
        <w:rPr>
          <w:rFonts w:ascii="宋体" w:hAnsi="宋体"/>
          <w:color w:val="auto"/>
          <w:sz w:val="32"/>
          <w:szCs w:val="32"/>
        </w:rPr>
      </w:pPr>
      <w:r>
        <w:rPr>
          <w:rFonts w:ascii="宋体" w:hAnsi="宋体"/>
          <w:color w:val="auto"/>
          <w:sz w:val="32"/>
          <w:szCs w:val="32"/>
        </w:rPr>
        <w:t>第二部分 通用合同条款</w:t>
      </w:r>
      <w:bookmarkEnd w:id="96"/>
    </w:p>
    <w:p>
      <w:pPr>
        <w:adjustRightInd w:val="0"/>
        <w:snapToGrid w:val="0"/>
        <w:spacing w:line="360" w:lineRule="auto"/>
        <w:ind w:firstLine="480" w:firstLineChars="200"/>
        <w:jc w:val="left"/>
        <w:rPr>
          <w:rFonts w:ascii="宋体" w:hAnsi="宋体"/>
          <w:color w:val="auto"/>
          <w:kern w:val="0"/>
          <w:sz w:val="24"/>
        </w:rPr>
      </w:pPr>
    </w:p>
    <w:p>
      <w:pPr>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此部分采用《建设工程施工合同》范本</w:t>
      </w:r>
      <w:r>
        <w:rPr>
          <w:rFonts w:ascii="宋体" w:hAnsi="宋体"/>
          <w:color w:val="auto"/>
          <w:kern w:val="0"/>
          <w:sz w:val="24"/>
        </w:rPr>
        <w:t>（GF—201</w:t>
      </w:r>
      <w:r>
        <w:rPr>
          <w:rFonts w:hint="eastAsia" w:ascii="宋体" w:hAnsi="宋体"/>
          <w:color w:val="auto"/>
          <w:kern w:val="0"/>
          <w:sz w:val="24"/>
        </w:rPr>
        <w:t>7</w:t>
      </w:r>
      <w:r>
        <w:rPr>
          <w:rFonts w:ascii="宋体" w:hAnsi="宋体"/>
          <w:color w:val="auto"/>
          <w:kern w:val="0"/>
          <w:sz w:val="24"/>
        </w:rPr>
        <w:t>—</w:t>
      </w:r>
      <w:r>
        <w:rPr>
          <w:rFonts w:hint="eastAsia" w:ascii="宋体" w:hAnsi="宋体"/>
          <w:color w:val="auto"/>
          <w:kern w:val="0"/>
          <w:sz w:val="24"/>
        </w:rPr>
        <w:t>0201）中《</w:t>
      </w:r>
      <w:r>
        <w:rPr>
          <w:rFonts w:ascii="宋体" w:hAnsi="宋体"/>
          <w:color w:val="auto"/>
          <w:kern w:val="0"/>
          <w:sz w:val="24"/>
        </w:rPr>
        <w:t>第二部分 通用合同条款</w:t>
      </w:r>
      <w:r>
        <w:rPr>
          <w:rFonts w:hint="eastAsia" w:ascii="宋体" w:hAnsi="宋体"/>
          <w:color w:val="auto"/>
          <w:kern w:val="0"/>
          <w:sz w:val="24"/>
        </w:rPr>
        <w:t>》内容。</w:t>
      </w:r>
    </w:p>
    <w:p>
      <w:pPr>
        <w:adjustRightInd w:val="0"/>
        <w:snapToGrid w:val="0"/>
        <w:spacing w:line="360" w:lineRule="auto"/>
        <w:jc w:val="center"/>
        <w:rPr>
          <w:rFonts w:ascii="宋体" w:hAnsi="宋体"/>
          <w:color w:val="auto"/>
          <w:sz w:val="32"/>
          <w:szCs w:val="32"/>
        </w:rPr>
      </w:pPr>
      <w:r>
        <w:rPr>
          <w:rFonts w:ascii="宋体" w:hAnsi="宋体"/>
          <w:color w:val="auto"/>
          <w:sz w:val="32"/>
          <w:szCs w:val="32"/>
        </w:rPr>
        <w:t xml:space="preserve">第三部分 </w:t>
      </w:r>
      <w:r>
        <w:rPr>
          <w:rFonts w:hint="eastAsia" w:ascii="宋体" w:hAnsi="宋体"/>
          <w:color w:val="auto"/>
          <w:sz w:val="32"/>
          <w:szCs w:val="32"/>
        </w:rPr>
        <w:t>专用合同条款</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 一般约定</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1.1 词语定义</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1.1.1合同</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1.1.1.10其他合同文件包括：</w:t>
      </w:r>
      <w:bookmarkStart w:id="97" w:name="EBa59562710c1342639fea6e701a6a4cbe"/>
      <w:r>
        <w:rPr>
          <w:rFonts w:hint="eastAsia" w:ascii="宋体" w:hAnsi="宋体"/>
          <w:color w:val="auto"/>
          <w:szCs w:val="21"/>
          <w:u w:val="single"/>
        </w:rPr>
        <w:t>招标文件、答疑纪要、工程量清单及编制说明、投标文件及双方其他书面约定作为本合同附件，等同合同的法律效力</w:t>
      </w:r>
      <w:bookmarkEnd w:id="97"/>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1.1.2 合同当事人及其他相关方</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1.1.2.4监理人：</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名    称：</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资质类别和等级：</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s="MingLiU_HKSCS"/>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1.1.2.5 设计人：</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名    称：</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资质类别和等级：</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s="MingLiU_HKSCS"/>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1.1.3 工程和设备</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1.1.3.7 作为施工现场组成部分的其他场所包括：</w:t>
      </w:r>
      <w:r>
        <w:rPr>
          <w:rFonts w:hint="eastAsia"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1.1.3.9 永久占地包括：</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1.1.3.10 临时占地包括：</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 xml:space="preserve">1.3法律 </w:t>
      </w:r>
    </w:p>
    <w:p>
      <w:pPr>
        <w:autoSpaceDE w:val="0"/>
        <w:autoSpaceDN w:val="0"/>
        <w:adjustRightInd w:val="0"/>
        <w:snapToGrid w:val="0"/>
        <w:spacing w:line="360" w:lineRule="auto"/>
        <w:ind w:left="596" w:leftChars="284"/>
        <w:jc w:val="left"/>
        <w:rPr>
          <w:rFonts w:ascii="宋体" w:hAnsi="宋体"/>
          <w:color w:val="auto"/>
          <w:sz w:val="24"/>
        </w:rPr>
      </w:pPr>
      <w:r>
        <w:rPr>
          <w:rFonts w:ascii="宋体" w:hAnsi="宋体"/>
          <w:color w:val="auto"/>
          <w:sz w:val="24"/>
        </w:rPr>
        <w:t>适用于合同的其他规范性文件：</w:t>
      </w:r>
      <w:r>
        <w:rPr>
          <w:rFonts w:hint="eastAsia" w:ascii="宋体" w:hAnsi="宋体"/>
          <w:color w:val="auto"/>
          <w:kern w:val="0"/>
          <w:szCs w:val="21"/>
          <w:u w:val="single"/>
        </w:rPr>
        <w:t>招标文件、答疑纪要、工程量清单及编制说明、投标文件及双方其他书面约定作为本合同附件，等同合同的法律效力</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1.4 标准和规范</w:t>
      </w:r>
    </w:p>
    <w:p>
      <w:pPr>
        <w:adjustRightInd w:val="0"/>
        <w:snapToGrid w:val="0"/>
        <w:spacing w:line="360" w:lineRule="auto"/>
        <w:ind w:left="596" w:leftChars="284"/>
        <w:rPr>
          <w:rFonts w:ascii="宋体" w:hAnsi="宋体"/>
          <w:color w:val="auto"/>
          <w:sz w:val="24"/>
        </w:rPr>
      </w:pPr>
      <w:r>
        <w:rPr>
          <w:rFonts w:ascii="宋体" w:hAnsi="宋体"/>
          <w:color w:val="auto"/>
          <w:sz w:val="24"/>
        </w:rPr>
        <w:t>1.4.1适用于工程的标准规范包括：</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outlineLvl w:val="0"/>
        <w:rPr>
          <w:rFonts w:ascii="宋体" w:hAnsi="宋体"/>
          <w:color w:val="auto"/>
          <w:kern w:val="0"/>
          <w:sz w:val="24"/>
        </w:rPr>
      </w:pPr>
      <w:r>
        <w:rPr>
          <w:rFonts w:ascii="宋体" w:hAnsi="宋体"/>
          <w:color w:val="auto"/>
          <w:kern w:val="0"/>
          <w:sz w:val="24"/>
        </w:rPr>
        <w:t>1.4.2 发包人提供国外标准、规范的名称：</w:t>
      </w:r>
      <w:r>
        <w:rPr>
          <w:rFonts w:hint="eastAsia" w:ascii="宋体" w:hAnsi="宋体" w:cs="宋体"/>
          <w:color w:val="auto"/>
          <w:u w:val="single"/>
        </w:rPr>
        <w:t>无</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发包人提供国外标准、规范的份数：</w:t>
      </w:r>
      <w:r>
        <w:rPr>
          <w:rFonts w:hint="eastAsia" w:ascii="宋体" w:hAnsi="宋体" w:cs="宋体"/>
          <w:color w:val="auto"/>
          <w:u w:val="single"/>
        </w:rPr>
        <w:t>无</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kern w:val="0"/>
          <w:sz w:val="24"/>
        </w:rPr>
        <w:t>发包人提供国外标准、规范的名称：</w:t>
      </w:r>
      <w:r>
        <w:rPr>
          <w:rFonts w:hint="eastAsia" w:ascii="宋体" w:hAnsi="宋体" w:cs="宋体"/>
          <w:color w:val="auto"/>
          <w:u w:val="single"/>
        </w:rPr>
        <w:t>无</w:t>
      </w:r>
      <w:r>
        <w:rPr>
          <w:rFonts w:ascii="宋体" w:hAnsi="宋体"/>
          <w:color w:val="auto"/>
          <w:sz w:val="24"/>
        </w:rPr>
        <w:t>。</w:t>
      </w:r>
    </w:p>
    <w:p>
      <w:pPr>
        <w:adjustRightInd w:val="0"/>
        <w:snapToGrid w:val="0"/>
        <w:spacing w:line="360" w:lineRule="auto"/>
        <w:ind w:left="596" w:leftChars="284"/>
        <w:rPr>
          <w:rFonts w:ascii="宋体" w:hAnsi="宋体"/>
          <w:color w:val="auto"/>
          <w:sz w:val="24"/>
        </w:rPr>
      </w:pPr>
      <w:r>
        <w:rPr>
          <w:rFonts w:ascii="宋体" w:hAnsi="宋体"/>
          <w:color w:val="auto"/>
          <w:sz w:val="24"/>
        </w:rPr>
        <w:t>1.4.3发包人对工程的技术标准和功能要求的特殊要求：</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1.5 合同文件的优先顺序</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合同文件组成及优先顺序为：</w:t>
      </w:r>
      <w:r>
        <w:rPr>
          <w:rFonts w:hint="eastAsia" w:ascii="宋体" w:hAnsi="宋体" w:cs="宋体"/>
          <w:color w:val="auto"/>
          <w:u w:val="single"/>
        </w:rPr>
        <w:t>（</w:t>
      </w:r>
      <w:r>
        <w:rPr>
          <w:rFonts w:ascii="宋体" w:hAnsi="宋体" w:cs="宋体"/>
          <w:color w:val="auto"/>
          <w:u w:val="single"/>
        </w:rPr>
        <w:t>1</w:t>
      </w:r>
      <w:r>
        <w:rPr>
          <w:rFonts w:hint="eastAsia" w:ascii="宋体" w:hAnsi="宋体" w:cs="宋体"/>
          <w:color w:val="auto"/>
          <w:u w:val="single"/>
        </w:rPr>
        <w:t>）合同协议书；（</w:t>
      </w:r>
      <w:r>
        <w:rPr>
          <w:rFonts w:ascii="宋体" w:hAnsi="宋体" w:cs="宋体"/>
          <w:color w:val="auto"/>
          <w:u w:val="single"/>
        </w:rPr>
        <w:t>2</w:t>
      </w:r>
      <w:r>
        <w:rPr>
          <w:rFonts w:hint="eastAsia" w:ascii="宋体" w:hAnsi="宋体" w:cs="宋体"/>
          <w:color w:val="auto"/>
          <w:u w:val="single"/>
        </w:rPr>
        <w:t>）中标通知书（如果有）；（</w:t>
      </w:r>
      <w:r>
        <w:rPr>
          <w:rFonts w:ascii="宋体" w:hAnsi="宋体" w:cs="宋体"/>
          <w:color w:val="auto"/>
          <w:u w:val="single"/>
        </w:rPr>
        <w:t>3</w:t>
      </w:r>
      <w:r>
        <w:rPr>
          <w:rFonts w:hint="eastAsia" w:ascii="宋体" w:hAnsi="宋体" w:cs="宋体"/>
          <w:color w:val="auto"/>
          <w:u w:val="single"/>
        </w:rPr>
        <w:t>）投标函及其附录（如果有）；（</w:t>
      </w:r>
      <w:r>
        <w:rPr>
          <w:rFonts w:ascii="宋体" w:hAnsi="宋体" w:cs="宋体"/>
          <w:color w:val="auto"/>
          <w:u w:val="single"/>
        </w:rPr>
        <w:t>4</w:t>
      </w:r>
      <w:r>
        <w:rPr>
          <w:rFonts w:hint="eastAsia" w:ascii="宋体" w:hAnsi="宋体" w:cs="宋体"/>
          <w:color w:val="auto"/>
          <w:u w:val="single"/>
        </w:rPr>
        <w:t>）专用合同条款及其附件；（</w:t>
      </w:r>
      <w:r>
        <w:rPr>
          <w:rFonts w:ascii="宋体" w:hAnsi="宋体" w:cs="宋体"/>
          <w:color w:val="auto"/>
          <w:u w:val="single"/>
        </w:rPr>
        <w:t>5</w:t>
      </w:r>
      <w:r>
        <w:rPr>
          <w:rFonts w:hint="eastAsia" w:ascii="宋体" w:hAnsi="宋体" w:cs="宋体"/>
          <w:color w:val="auto"/>
          <w:u w:val="single"/>
        </w:rPr>
        <w:t>）通用合同条款；（</w:t>
      </w:r>
      <w:r>
        <w:rPr>
          <w:rFonts w:ascii="宋体" w:hAnsi="宋体" w:cs="宋体"/>
          <w:color w:val="auto"/>
          <w:u w:val="single"/>
        </w:rPr>
        <w:t>6</w:t>
      </w:r>
      <w:r>
        <w:rPr>
          <w:rFonts w:hint="eastAsia" w:ascii="宋体" w:hAnsi="宋体" w:cs="宋体"/>
          <w:color w:val="auto"/>
          <w:u w:val="single"/>
        </w:rPr>
        <w:t>）技术标准和要求；（</w:t>
      </w:r>
      <w:r>
        <w:rPr>
          <w:rFonts w:ascii="宋体" w:hAnsi="宋体" w:cs="宋体"/>
          <w:color w:val="auto"/>
          <w:u w:val="single"/>
        </w:rPr>
        <w:t>7</w:t>
      </w:r>
      <w:r>
        <w:rPr>
          <w:rFonts w:hint="eastAsia" w:ascii="宋体" w:hAnsi="宋体" w:cs="宋体"/>
          <w:color w:val="auto"/>
          <w:u w:val="single"/>
        </w:rPr>
        <w:t>）图纸；（</w:t>
      </w:r>
      <w:r>
        <w:rPr>
          <w:rFonts w:ascii="宋体" w:hAnsi="宋体" w:cs="宋体"/>
          <w:color w:val="auto"/>
          <w:u w:val="single"/>
        </w:rPr>
        <w:t>8</w:t>
      </w:r>
      <w:r>
        <w:rPr>
          <w:rFonts w:hint="eastAsia" w:ascii="宋体" w:hAnsi="宋体" w:cs="宋体"/>
          <w:color w:val="auto"/>
          <w:u w:val="single"/>
        </w:rPr>
        <w:t>）已标价工程量清单或预算书；（</w:t>
      </w:r>
      <w:r>
        <w:rPr>
          <w:rFonts w:ascii="宋体" w:hAnsi="宋体" w:cs="宋体"/>
          <w:color w:val="auto"/>
          <w:u w:val="single"/>
        </w:rPr>
        <w:t>9</w:t>
      </w:r>
      <w:r>
        <w:rPr>
          <w:rFonts w:hint="eastAsia" w:ascii="宋体" w:hAnsi="宋体" w:cs="宋体"/>
          <w:color w:val="auto"/>
          <w:u w:val="single"/>
        </w:rPr>
        <w:t>）其他合同文件。</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1.6 图纸和承包人文件</w:t>
      </w:r>
      <w:r>
        <w:rPr>
          <w:rFonts w:ascii="宋体" w:hAnsi="宋体"/>
          <w:color w:val="auto"/>
          <w:sz w:val="24"/>
        </w:rPr>
        <w:tab/>
      </w:r>
    </w:p>
    <w:p>
      <w:pPr>
        <w:adjustRightInd w:val="0"/>
        <w:snapToGrid w:val="0"/>
        <w:spacing w:line="360" w:lineRule="auto"/>
        <w:ind w:firstLine="480" w:firstLineChars="200"/>
        <w:rPr>
          <w:rFonts w:ascii="宋体" w:hAnsi="宋体"/>
          <w:color w:val="auto"/>
          <w:sz w:val="24"/>
        </w:rPr>
      </w:pPr>
      <w:r>
        <w:rPr>
          <w:rFonts w:ascii="宋体" w:hAnsi="宋体"/>
          <w:color w:val="auto"/>
          <w:sz w:val="24"/>
        </w:rPr>
        <w:t>1.6.1 图纸的提供</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发包人向承包人提供图纸的期限：</w:t>
      </w:r>
      <w:bookmarkStart w:id="98" w:name="EBfdeb007842ea42c8a8d8244144429946"/>
      <w:r>
        <w:rPr>
          <w:rFonts w:hint="eastAsia" w:ascii="宋体" w:hAnsi="宋体" w:cs="宋体"/>
          <w:color w:val="auto"/>
          <w:u w:val="single"/>
        </w:rPr>
        <w:t>开工前7天</w:t>
      </w:r>
      <w:bookmarkEnd w:id="98"/>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发包人向承包人提供图纸的数量：</w:t>
      </w:r>
      <w:bookmarkStart w:id="99" w:name="EBd0ac771692dc4c5b852a3948876889b6"/>
      <w:r>
        <w:rPr>
          <w:rFonts w:hint="eastAsia" w:ascii="宋体" w:hAnsi="宋体"/>
          <w:color w:val="auto"/>
          <w:szCs w:val="21"/>
          <w:u w:val="single"/>
        </w:rPr>
        <w:t>肆套（含竣工后提供的二套竣工图）</w:t>
      </w:r>
      <w:bookmarkEnd w:id="99"/>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发包人向承包人提供图纸的内容：</w:t>
      </w:r>
      <w:r>
        <w:rPr>
          <w:rFonts w:hint="eastAsia" w:ascii="宋体" w:hAnsi="宋体" w:cs="宋体"/>
          <w:color w:val="auto"/>
          <w:u w:val="single"/>
        </w:rPr>
        <w:t>提供经审图合格的全部施工图纸</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1.6.4 承包人文件</w:t>
      </w:r>
    </w:p>
    <w:p>
      <w:pPr>
        <w:adjustRightInd w:val="0"/>
        <w:snapToGrid w:val="0"/>
        <w:spacing w:line="360" w:lineRule="auto"/>
        <w:ind w:left="596" w:leftChars="284"/>
        <w:jc w:val="left"/>
        <w:rPr>
          <w:rFonts w:ascii="宋体" w:hAnsi="宋体"/>
          <w:color w:val="auto"/>
          <w:sz w:val="24"/>
        </w:rPr>
      </w:pPr>
      <w:r>
        <w:rPr>
          <w:rFonts w:ascii="宋体" w:hAnsi="宋体"/>
          <w:color w:val="auto"/>
          <w:sz w:val="24"/>
        </w:rPr>
        <w:t>需要由承包人提供的文件，包括：</w:t>
      </w:r>
      <w:r>
        <w:rPr>
          <w:rFonts w:hint="eastAsia" w:ascii="宋体" w:hAnsi="宋体" w:cs="宋体"/>
          <w:color w:val="auto"/>
          <w:u w:val="single"/>
        </w:rPr>
        <w:t>包含但不限于发包人和监理人要求的各类报表、验收资料及竣工资料等</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承包人提供的文件的期限为：</w:t>
      </w:r>
      <w:r>
        <w:rPr>
          <w:rFonts w:hint="eastAsia" w:ascii="宋体" w:hAnsi="宋体"/>
          <w:color w:val="auto"/>
          <w:szCs w:val="21"/>
          <w:u w:val="single"/>
        </w:rPr>
        <w:t>竣工验收前</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承包人提供的文件的数量为：</w:t>
      </w:r>
      <w:r>
        <w:rPr>
          <w:rFonts w:hint="eastAsia" w:ascii="宋体" w:hAnsi="宋体"/>
          <w:color w:val="auto"/>
          <w:szCs w:val="21"/>
          <w:u w:val="single"/>
        </w:rPr>
        <w:t>一式肆份</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承包人提供的文件的形式为：</w:t>
      </w:r>
      <w:r>
        <w:rPr>
          <w:rFonts w:hint="eastAsia" w:ascii="宋体" w:hAnsi="宋体" w:cs="宋体"/>
          <w:color w:val="auto"/>
          <w:u w:val="single"/>
        </w:rPr>
        <w:t>纸质和电子文件</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w:t>
      </w:r>
      <w:r>
        <w:rPr>
          <w:rFonts w:hint="eastAsia" w:ascii="宋体" w:hAnsi="宋体"/>
          <w:color w:val="auto"/>
          <w:sz w:val="24"/>
        </w:rPr>
        <w:t>审批</w:t>
      </w:r>
      <w:r>
        <w:rPr>
          <w:rFonts w:ascii="宋体" w:hAnsi="宋体"/>
          <w:color w:val="auto"/>
          <w:sz w:val="24"/>
        </w:rPr>
        <w:t>承包人文件的期限：</w:t>
      </w:r>
      <w:bookmarkStart w:id="100" w:name="EB5534a68665764e60a671cd5b215eafef"/>
      <w:r>
        <w:rPr>
          <w:rFonts w:hint="eastAsia" w:ascii="宋体" w:hAnsi="宋体" w:cs="宋体"/>
          <w:color w:val="auto"/>
          <w:u w:val="single"/>
        </w:rPr>
        <w:t>承包人提供相应文件后7天内</w:t>
      </w:r>
      <w:bookmarkEnd w:id="100"/>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1.7 联络</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1.7.1发包人和承包人应当在</w:t>
      </w:r>
      <w:r>
        <w:rPr>
          <w:rFonts w:hint="eastAsia" w:ascii="宋体" w:hAnsi="宋体" w:cs="宋体"/>
          <w:color w:val="auto"/>
          <w:u w:val="single"/>
        </w:rPr>
        <w:t xml:space="preserve">1 </w:t>
      </w:r>
      <w:r>
        <w:rPr>
          <w:rFonts w:ascii="宋体" w:hAnsi="宋体"/>
          <w:color w:val="auto"/>
          <w:kern w:val="0"/>
          <w:sz w:val="24"/>
        </w:rPr>
        <w:t>天内将与合同有关的通知、批准、证明、证书、指示、指令、要求、请求、同意、意见、确定和决定等书面函件送达对方当事人</w:t>
      </w:r>
      <w:r>
        <w:rPr>
          <w:rFonts w:hint="eastAsia" w:ascii="宋体" w:hAnsi="宋体"/>
          <w:color w:val="auto"/>
          <w:kern w:val="0"/>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1.7.2 发包人接收文件的地点：</w:t>
      </w:r>
      <w:r>
        <w:rPr>
          <w:rFonts w:hint="eastAsia" w:ascii="宋体" w:hAnsi="宋体" w:cs="宋体"/>
          <w:color w:val="auto"/>
          <w:u w:val="single"/>
        </w:rPr>
        <w:t>现场办公室</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发包人指定的接收人为：</w:t>
      </w:r>
      <w:r>
        <w:rPr>
          <w:rFonts w:hint="eastAsia" w:ascii="宋体" w:hAnsi="宋体" w:cs="宋体"/>
          <w:color w:val="auto"/>
          <w:u w:val="single"/>
        </w:rPr>
        <w:t>发包人代表或其授权代表</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承包人接收文件的地点：</w:t>
      </w:r>
      <w:r>
        <w:rPr>
          <w:rFonts w:hint="eastAsia" w:ascii="宋体" w:hAnsi="宋体" w:cs="宋体"/>
          <w:color w:val="auto"/>
          <w:u w:val="single"/>
        </w:rPr>
        <w:t>现场办公室</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承包人指定的接收人为：</w:t>
      </w:r>
      <w:r>
        <w:rPr>
          <w:rFonts w:hint="eastAsia" w:ascii="宋体" w:hAnsi="宋体" w:cs="宋体"/>
          <w:color w:val="auto"/>
          <w:u w:val="single"/>
        </w:rPr>
        <w:t>项目经理或其授权代表</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监理人接收文件的地点：</w:t>
      </w:r>
      <w:r>
        <w:rPr>
          <w:rFonts w:hint="eastAsia" w:ascii="宋体" w:hAnsi="宋体" w:cs="宋体"/>
          <w:color w:val="auto"/>
          <w:u w:val="single"/>
        </w:rPr>
        <w:t>现场办公室</w:t>
      </w:r>
      <w:r>
        <w:rPr>
          <w:rFonts w:ascii="宋体" w:hAnsi="宋体"/>
          <w:color w:val="auto"/>
          <w:sz w:val="24"/>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监理人指定的接收人为：</w:t>
      </w:r>
      <w:r>
        <w:rPr>
          <w:rFonts w:hint="eastAsia" w:ascii="宋体" w:hAnsi="宋体" w:cs="宋体"/>
          <w:color w:val="auto"/>
          <w:u w:val="single"/>
        </w:rPr>
        <w:t>总监理工程师或其授权代表</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1.10 交通运输</w:t>
      </w:r>
    </w:p>
    <w:p>
      <w:pPr>
        <w:adjustRightInd w:val="0"/>
        <w:snapToGrid w:val="0"/>
        <w:spacing w:line="360" w:lineRule="auto"/>
        <w:ind w:firstLine="480" w:firstLineChars="200"/>
        <w:outlineLvl w:val="0"/>
        <w:rPr>
          <w:rFonts w:ascii="宋体" w:hAnsi="宋体"/>
          <w:color w:val="auto"/>
          <w:sz w:val="24"/>
        </w:rPr>
      </w:pPr>
      <w:r>
        <w:rPr>
          <w:rFonts w:ascii="宋体" w:hAnsi="宋体"/>
          <w:color w:val="auto"/>
          <w:sz w:val="24"/>
        </w:rPr>
        <w:t>1.10.1 出入现场的权利</w:t>
      </w:r>
    </w:p>
    <w:p>
      <w:pPr>
        <w:adjustRightInd w:val="0"/>
        <w:snapToGrid w:val="0"/>
        <w:spacing w:line="360" w:lineRule="auto"/>
        <w:ind w:left="596" w:leftChars="284"/>
        <w:rPr>
          <w:rFonts w:ascii="宋体" w:hAnsi="宋体"/>
          <w:color w:val="auto"/>
          <w:sz w:val="24"/>
        </w:rPr>
      </w:pPr>
      <w:r>
        <w:rPr>
          <w:rFonts w:ascii="宋体" w:hAnsi="宋体"/>
          <w:color w:val="auto"/>
          <w:sz w:val="24"/>
        </w:rPr>
        <w:t>关于出入现场的权利的约定：</w:t>
      </w:r>
      <w:r>
        <w:rPr>
          <w:rFonts w:hint="eastAsia" w:ascii="宋体" w:hAnsi="宋体"/>
          <w:color w:val="auto"/>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color w:val="auto"/>
          <w:u w:val="single"/>
        </w:rPr>
        <w:t>。</w:t>
      </w:r>
      <w:r>
        <w:rPr>
          <w:rFonts w:ascii="宋体" w:hAnsi="宋体"/>
          <w:color w:val="auto"/>
          <w:sz w:val="24"/>
        </w:rPr>
        <w:t>。</w:t>
      </w:r>
    </w:p>
    <w:p>
      <w:pPr>
        <w:adjustRightInd w:val="0"/>
        <w:snapToGrid w:val="0"/>
        <w:spacing w:line="360" w:lineRule="auto"/>
        <w:ind w:firstLine="480" w:firstLineChars="200"/>
        <w:jc w:val="left"/>
        <w:outlineLvl w:val="0"/>
        <w:rPr>
          <w:rFonts w:ascii="宋体" w:hAnsi="宋体"/>
          <w:color w:val="auto"/>
          <w:sz w:val="24"/>
        </w:rPr>
      </w:pPr>
      <w:r>
        <w:rPr>
          <w:rFonts w:ascii="宋体" w:hAnsi="宋体"/>
          <w:color w:val="auto"/>
          <w:sz w:val="24"/>
        </w:rPr>
        <w:t>1.10.3 场内交通</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关于场外交通和场内交通的边界的约定：</w:t>
      </w:r>
      <w:r>
        <w:rPr>
          <w:rFonts w:hint="eastAsia" w:ascii="宋体" w:hAnsi="宋体"/>
          <w:color w:val="auto"/>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color w:val="auto"/>
          <w:u w:val="single"/>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关于发包人向承包人免费提供满足工程施工需要的场内道路和交通设施的约定：</w:t>
      </w:r>
      <w:r>
        <w:rPr>
          <w:rFonts w:hint="eastAsia" w:ascii="宋体" w:hAnsi="宋体"/>
          <w:color w:val="auto"/>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color w:val="auto"/>
          <w:u w:val="single"/>
        </w:rPr>
        <w:t>。</w:t>
      </w:r>
      <w:r>
        <w:rPr>
          <w:rFonts w:hint="eastAsia" w:ascii="宋体" w:hAnsi="宋体"/>
          <w:color w:val="auto"/>
          <w:sz w:val="24"/>
          <w:u w:val="single"/>
        </w:rPr>
        <w:t xml:space="preserve"> </w:t>
      </w:r>
      <w:r>
        <w:rPr>
          <w:rFonts w:ascii="宋体" w:hAnsi="宋体"/>
          <w:color w:val="auto"/>
          <w:sz w:val="24"/>
        </w:rPr>
        <w:t xml:space="preserve">。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1.10.4超大件和超重件的运输</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运输超大件或超重件所需的道路和桥梁临时加固改造费用和其他有关费用由</w:t>
      </w:r>
      <w:r>
        <w:rPr>
          <w:rFonts w:hint="eastAsia" w:ascii="宋体" w:hAnsi="宋体" w:cs="宋体"/>
          <w:color w:val="auto"/>
          <w:u w:val="single"/>
        </w:rPr>
        <w:t>承包人</w:t>
      </w:r>
      <w:r>
        <w:rPr>
          <w:rFonts w:ascii="宋体" w:hAnsi="宋体"/>
          <w:color w:val="auto"/>
          <w:sz w:val="24"/>
        </w:rPr>
        <w:t>承担。</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1.11 知识产权</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left="596" w:leftChars="284"/>
        <w:rPr>
          <w:rFonts w:ascii="宋体" w:hAnsi="宋体"/>
          <w:color w:val="auto"/>
          <w:sz w:val="24"/>
        </w:rPr>
      </w:pPr>
      <w:r>
        <w:rPr>
          <w:rFonts w:ascii="宋体" w:hAnsi="宋体"/>
          <w:color w:val="auto"/>
          <w:sz w:val="24"/>
        </w:rPr>
        <w:t>关于发包人提供的上述文件的使用限制的要求：</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left="596" w:leftChars="284"/>
        <w:outlineLvl w:val="0"/>
        <w:rPr>
          <w:rFonts w:ascii="宋体" w:hAnsi="宋体"/>
          <w:color w:val="auto"/>
          <w:sz w:val="24"/>
        </w:rPr>
      </w:pPr>
      <w:r>
        <w:rPr>
          <w:rFonts w:ascii="宋体" w:hAnsi="宋体"/>
          <w:color w:val="auto"/>
          <w:sz w:val="24"/>
        </w:rPr>
        <w:t>1.11.2 关于承包人为实施工程所编制文件的著作权的归属：</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关于承包人提供的上述文件的使用限制的要求：</w:t>
      </w:r>
      <w:r>
        <w:rPr>
          <w:rFonts w:hint="eastAsia" w:ascii="宋体" w:hAnsi="宋体" w:cs="宋体"/>
          <w:color w:val="auto"/>
          <w:u w:val="single"/>
        </w:rPr>
        <w:t>/</w:t>
      </w:r>
      <w:r>
        <w:rPr>
          <w:rFonts w:ascii="宋体" w:hAnsi="宋体"/>
          <w:color w:val="auto"/>
          <w:sz w:val="24"/>
        </w:rPr>
        <w:t>。</w:t>
      </w:r>
    </w:p>
    <w:p>
      <w:pPr>
        <w:adjustRightInd w:val="0"/>
        <w:snapToGrid w:val="0"/>
        <w:spacing w:line="360" w:lineRule="auto"/>
        <w:ind w:firstLine="480" w:firstLineChars="200"/>
        <w:outlineLvl w:val="0"/>
        <w:rPr>
          <w:rFonts w:ascii="宋体" w:hAnsi="宋体"/>
          <w:color w:val="auto"/>
          <w:kern w:val="0"/>
          <w:sz w:val="24"/>
        </w:rPr>
      </w:pPr>
      <w:r>
        <w:rPr>
          <w:rFonts w:ascii="宋体" w:hAnsi="宋体"/>
          <w:color w:val="auto"/>
          <w:sz w:val="24"/>
        </w:rPr>
        <w:t>1.11.4 承包人在施工过程中所采用的专利、专有技术、技术秘密的使用费的承担方式：</w:t>
      </w:r>
      <w:r>
        <w:rPr>
          <w:rFonts w:hint="eastAsia" w:ascii="宋体" w:hAnsi="宋体" w:cs="宋体"/>
          <w:color w:val="auto"/>
          <w:u w:val="single"/>
        </w:rPr>
        <w:t>执行通用条款</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1.13工程量清单错误的修正</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出现工程量清单错误时，是否调整合同价格：</w:t>
      </w:r>
      <w:r>
        <w:rPr>
          <w:rFonts w:hint="eastAsia" w:ascii="宋体" w:hAnsi="宋体"/>
          <w:color w:val="auto"/>
          <w:kern w:val="0"/>
          <w:szCs w:val="21"/>
          <w:u w:val="single"/>
        </w:rPr>
        <w:t>按发包人要求执行</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允许调整合同价格的工程量偏差范围：</w:t>
      </w:r>
      <w:r>
        <w:rPr>
          <w:rFonts w:hint="eastAsia" w:ascii="宋体" w:hAnsi="宋体"/>
          <w:color w:val="auto"/>
          <w:kern w:val="0"/>
          <w:szCs w:val="21"/>
          <w:u w:val="single"/>
        </w:rPr>
        <w:t>按发包人要求执行</w:t>
      </w:r>
      <w:r>
        <w:rPr>
          <w:rFonts w:ascii="宋体" w:hAnsi="宋体"/>
          <w:color w:val="auto"/>
          <w:kern w:val="0"/>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2. 发包人</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2.2 发包人代表</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发包人代表：</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姓    名：</w:t>
      </w:r>
      <w:r>
        <w:rPr>
          <w:rFonts w:ascii="宋体" w:hAnsi="宋体"/>
          <w:color w:val="auto"/>
          <w:sz w:val="24"/>
          <w:u w:val="single"/>
        </w:rPr>
        <w:t xml:space="preserve"> 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b/>
          <w:color w:val="auto"/>
          <w:sz w:val="24"/>
        </w:rPr>
      </w:pPr>
      <w:r>
        <w:rPr>
          <w:rFonts w:ascii="宋体" w:hAnsi="宋体"/>
          <w:color w:val="auto"/>
          <w:sz w:val="24"/>
        </w:rPr>
        <w:t>发包人对发包人代表的授权范围如下：</w:t>
      </w:r>
      <w:r>
        <w:rPr>
          <w:rFonts w:hint="eastAsia" w:ascii="宋体" w:hAnsi="宋体" w:cs="宋体"/>
          <w:color w:val="auto"/>
          <w:u w:val="single"/>
        </w:rPr>
        <w:t>按发包人要求执行</w:t>
      </w:r>
      <w:r>
        <w:rPr>
          <w:rFonts w:ascii="宋体" w:hAnsi="宋体" w:cs="宋体"/>
          <w:color w:val="auto"/>
          <w:u w:val="single"/>
        </w:rPr>
        <w:t xml:space="preserve"> </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2.4 施工现场、施工条件和基础资料的提供</w:t>
      </w:r>
    </w:p>
    <w:p>
      <w:pPr>
        <w:adjustRightInd w:val="0"/>
        <w:snapToGrid w:val="0"/>
        <w:spacing w:line="360" w:lineRule="auto"/>
        <w:ind w:firstLine="480" w:firstLineChars="200"/>
        <w:rPr>
          <w:rFonts w:ascii="宋体" w:hAnsi="宋体"/>
          <w:color w:val="auto"/>
          <w:sz w:val="24"/>
        </w:rPr>
      </w:pPr>
      <w:r>
        <w:rPr>
          <w:rFonts w:ascii="宋体" w:hAnsi="宋体"/>
          <w:color w:val="auto"/>
          <w:sz w:val="24"/>
        </w:rPr>
        <w:t>2.4.1 提供施工现场</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关于发包人移交施工现场的期限要求：</w:t>
      </w:r>
      <w:r>
        <w:rPr>
          <w:rFonts w:hint="eastAsia" w:ascii="宋体" w:hAnsi="宋体" w:cs="宋体"/>
          <w:color w:val="auto"/>
          <w:sz w:val="24"/>
          <w:u w:val="single"/>
        </w:rPr>
        <w:t>开工前提供，施工现场具备开工条件</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2.4.2 提供施工条件</w:t>
      </w:r>
    </w:p>
    <w:p>
      <w:pPr>
        <w:adjustRightInd w:val="0"/>
        <w:snapToGrid w:val="0"/>
        <w:spacing w:line="360" w:lineRule="auto"/>
        <w:ind w:firstLine="480" w:firstLineChars="200"/>
        <w:rPr>
          <w:rFonts w:ascii="宋体" w:hAnsi="宋体"/>
          <w:color w:val="auto"/>
          <w:sz w:val="24"/>
          <w:u w:val="single"/>
        </w:rPr>
      </w:pPr>
      <w:r>
        <w:rPr>
          <w:rFonts w:ascii="宋体" w:hAnsi="宋体"/>
          <w:color w:val="auto"/>
          <w:sz w:val="24"/>
        </w:rPr>
        <w:t>关于发包人应负责提供施工</w:t>
      </w:r>
      <w:r>
        <w:rPr>
          <w:rFonts w:hint="eastAsia" w:ascii="宋体" w:hAnsi="宋体"/>
          <w:color w:val="auto"/>
          <w:sz w:val="24"/>
        </w:rPr>
        <w:t>所需要的条件，</w:t>
      </w:r>
      <w:r>
        <w:rPr>
          <w:rFonts w:ascii="宋体" w:hAnsi="宋体"/>
          <w:color w:val="auto"/>
          <w:sz w:val="24"/>
        </w:rPr>
        <w:t>包括：</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2.5 资金来源证明及支付担保</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发包人提供资金来源证明的期限要求：</w:t>
      </w:r>
      <w:r>
        <w:rPr>
          <w:rFonts w:hint="eastAsia"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发包人是否提供支付担保：</w:t>
      </w:r>
      <w:r>
        <w:rPr>
          <w:rFonts w:hint="eastAsia" w:ascii="宋体" w:hAnsi="宋体" w:cs="宋体"/>
          <w:color w:val="auto"/>
          <w:u w:val="single"/>
        </w:rPr>
        <w:t>否</w:t>
      </w:r>
      <w:r>
        <w:rPr>
          <w:rFonts w:ascii="宋体" w:hAnsi="宋体"/>
          <w:color w:val="auto"/>
          <w:sz w:val="24"/>
        </w:rPr>
        <w:t>。</w:t>
      </w:r>
    </w:p>
    <w:p>
      <w:pPr>
        <w:adjustRightInd w:val="0"/>
        <w:snapToGrid w:val="0"/>
        <w:spacing w:line="360" w:lineRule="auto"/>
        <w:ind w:firstLine="480" w:firstLineChars="200"/>
        <w:rPr>
          <w:rFonts w:ascii="宋体" w:hAnsi="宋体"/>
          <w:color w:val="auto"/>
          <w:sz w:val="24"/>
          <w:u w:val="single"/>
        </w:rPr>
      </w:pPr>
      <w:r>
        <w:rPr>
          <w:rFonts w:ascii="宋体" w:hAnsi="宋体"/>
          <w:color w:val="auto"/>
          <w:sz w:val="24"/>
        </w:rPr>
        <w:t>发包人提供支付担保的形式：</w:t>
      </w:r>
      <w:r>
        <w:rPr>
          <w:rFonts w:hint="eastAsia" w:ascii="宋体" w:hAnsi="宋体" w:cs="宋体"/>
          <w:color w:val="auto"/>
          <w:u w:val="single"/>
        </w:rPr>
        <w:t>无</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3. 承包人</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3.1 承包人的一般义务</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kern w:val="0"/>
          <w:sz w:val="24"/>
        </w:rPr>
        <w:t>（</w:t>
      </w:r>
      <w:r>
        <w:rPr>
          <w:rFonts w:hint="eastAsia" w:ascii="宋体" w:hAnsi="宋体"/>
          <w:color w:val="auto"/>
          <w:kern w:val="0"/>
          <w:sz w:val="24"/>
        </w:rPr>
        <w:t>9</w:t>
      </w:r>
      <w:r>
        <w:rPr>
          <w:rFonts w:ascii="宋体" w:hAnsi="宋体"/>
          <w:color w:val="auto"/>
          <w:kern w:val="0"/>
          <w:sz w:val="24"/>
        </w:rPr>
        <w:t>）</w:t>
      </w:r>
      <w:r>
        <w:rPr>
          <w:rFonts w:ascii="宋体" w:hAnsi="宋体"/>
          <w:color w:val="auto"/>
          <w:sz w:val="24"/>
        </w:rPr>
        <w:t>承包人提交的竣工资料的内容：</w:t>
      </w:r>
      <w:r>
        <w:rPr>
          <w:rFonts w:ascii="宋体" w:hAnsi="宋体"/>
          <w:color w:val="auto"/>
          <w:sz w:val="24"/>
          <w:u w:val="single"/>
        </w:rPr>
        <w:t xml:space="preserve">  </w:t>
      </w:r>
      <w:bookmarkStart w:id="101" w:name="EB24f010a9250545559a40b307368337ca"/>
      <w:r>
        <w:rPr>
          <w:rFonts w:hint="eastAsia" w:ascii="宋体" w:hAnsi="宋体"/>
          <w:color w:val="auto"/>
          <w:u w:val="single"/>
        </w:rPr>
        <w:t>所有书面和电子竣工资料</w:t>
      </w:r>
      <w:bookmarkEnd w:id="101"/>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承包人需要提交的竣工资料套数：</w:t>
      </w:r>
      <w:bookmarkStart w:id="102" w:name="EBd003d1b505a84249bb0a5b3aa148e89c"/>
      <w:r>
        <w:rPr>
          <w:rFonts w:hint="eastAsia" w:ascii="宋体" w:hAnsi="宋体"/>
          <w:color w:val="auto"/>
          <w:u w:val="single"/>
        </w:rPr>
        <w:t>满足发包人档案编制要求</w:t>
      </w:r>
      <w:bookmarkEnd w:id="102"/>
      <w:r>
        <w:rPr>
          <w:rFonts w:ascii="宋体" w:hAnsi="宋体"/>
          <w:color w:val="auto"/>
          <w:sz w:val="24"/>
        </w:rPr>
        <w:t>。</w:t>
      </w:r>
    </w:p>
    <w:p>
      <w:pPr>
        <w:adjustRightInd w:val="0"/>
        <w:snapToGrid w:val="0"/>
        <w:spacing w:line="360" w:lineRule="auto"/>
        <w:ind w:left="638" w:leftChars="304"/>
        <w:jc w:val="left"/>
        <w:rPr>
          <w:rFonts w:ascii="宋体" w:hAnsi="宋体"/>
          <w:color w:val="auto"/>
          <w:sz w:val="24"/>
        </w:rPr>
      </w:pPr>
      <w:r>
        <w:rPr>
          <w:rFonts w:ascii="宋体" w:hAnsi="宋体"/>
          <w:color w:val="auto"/>
          <w:sz w:val="24"/>
        </w:rPr>
        <w:t>承包人提交的竣工资料的费用承担：</w:t>
      </w:r>
      <w:r>
        <w:rPr>
          <w:rFonts w:ascii="宋体" w:hAnsi="宋体"/>
          <w:color w:val="auto"/>
          <w:sz w:val="24"/>
          <w:u w:val="single"/>
        </w:rPr>
        <w:t xml:space="preserve">  </w:t>
      </w:r>
      <w:r>
        <w:rPr>
          <w:rFonts w:hint="eastAsia" w:ascii="宋体" w:hAnsi="宋体" w:cs="宋体"/>
          <w:color w:val="auto"/>
          <w:u w:val="single"/>
        </w:rPr>
        <w:t>由承包人自行承担</w:t>
      </w:r>
      <w:r>
        <w:rPr>
          <w:rFonts w:ascii="宋体" w:hAnsi="宋体"/>
          <w:color w:val="auto"/>
          <w:sz w:val="24"/>
        </w:rPr>
        <w:t>。</w:t>
      </w:r>
    </w:p>
    <w:p>
      <w:pPr>
        <w:adjustRightInd w:val="0"/>
        <w:snapToGrid w:val="0"/>
        <w:spacing w:line="360" w:lineRule="auto"/>
        <w:ind w:left="638" w:leftChars="304"/>
        <w:jc w:val="left"/>
        <w:rPr>
          <w:rFonts w:ascii="宋体" w:hAnsi="宋体"/>
          <w:color w:val="auto"/>
          <w:sz w:val="24"/>
        </w:rPr>
      </w:pPr>
      <w:r>
        <w:rPr>
          <w:rFonts w:ascii="宋体" w:hAnsi="宋体"/>
          <w:color w:val="auto"/>
          <w:sz w:val="24"/>
        </w:rPr>
        <w:t>承包人提交的竣工资料移交时间：</w:t>
      </w:r>
      <w:r>
        <w:rPr>
          <w:rFonts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kern w:val="0"/>
          <w:szCs w:val="21"/>
          <w:u w:val="single"/>
        </w:rPr>
        <w:t>竣工验收前</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承包人提交的竣工资料形式要求：</w:t>
      </w:r>
      <w:r>
        <w:rPr>
          <w:rFonts w:ascii="宋体" w:hAnsi="宋体"/>
          <w:color w:val="auto"/>
          <w:sz w:val="24"/>
          <w:u w:val="single"/>
        </w:rPr>
        <w:t xml:space="preserve"> </w:t>
      </w:r>
      <w:r>
        <w:rPr>
          <w:rFonts w:ascii="宋体" w:hAnsi="宋体"/>
          <w:color w:val="auto"/>
          <w:sz w:val="24"/>
          <w:u w:val="single"/>
        </w:rPr>
        <w:t xml:space="preserve">  </w:t>
      </w:r>
      <w:r>
        <w:rPr>
          <w:rFonts w:hint="eastAsia" w:ascii="宋体" w:hAnsi="宋体" w:cs="宋体"/>
          <w:color w:val="auto"/>
          <w:u w:val="single"/>
        </w:rPr>
        <w:t>纸质和电子文件</w:t>
      </w:r>
      <w:r>
        <w:rPr>
          <w:rFonts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kern w:val="0"/>
          <w:sz w:val="24"/>
        </w:rPr>
        <w:t>（</w:t>
      </w:r>
      <w:r>
        <w:rPr>
          <w:rFonts w:hint="eastAsia" w:ascii="宋体" w:hAnsi="宋体"/>
          <w:color w:val="auto"/>
          <w:kern w:val="0"/>
          <w:sz w:val="24"/>
        </w:rPr>
        <w:t>10</w:t>
      </w:r>
      <w:r>
        <w:rPr>
          <w:rFonts w:ascii="宋体" w:hAnsi="宋体"/>
          <w:color w:val="auto"/>
          <w:kern w:val="0"/>
          <w:sz w:val="24"/>
        </w:rPr>
        <w:t>）承包人应履行的其他义务：</w:t>
      </w:r>
      <w:r>
        <w:rPr>
          <w:rFonts w:ascii="宋体" w:hAnsi="宋体"/>
          <w:color w:val="auto"/>
          <w:sz w:val="24"/>
          <w:u w:val="single"/>
        </w:rPr>
        <w:t></w:t>
      </w:r>
      <w:r>
        <w:rPr>
          <w:rFonts w:hint="eastAsia" w:ascii="宋体" w:hAnsi="宋体"/>
          <w:color w:val="auto"/>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3.2 项目经理</w:t>
      </w:r>
    </w:p>
    <w:p>
      <w:pPr>
        <w:adjustRightInd w:val="0"/>
        <w:snapToGrid w:val="0"/>
        <w:spacing w:line="360" w:lineRule="auto"/>
        <w:ind w:firstLine="480" w:firstLineChars="200"/>
        <w:rPr>
          <w:rFonts w:ascii="宋体" w:hAnsi="宋体"/>
          <w:color w:val="auto"/>
          <w:sz w:val="24"/>
        </w:rPr>
      </w:pPr>
      <w:r>
        <w:rPr>
          <w:rFonts w:ascii="宋体" w:hAnsi="宋体"/>
          <w:color w:val="auto"/>
          <w:kern w:val="0"/>
          <w:sz w:val="24"/>
        </w:rPr>
        <w:t xml:space="preserve">3.2.1 </w:t>
      </w:r>
      <w:r>
        <w:rPr>
          <w:rFonts w:ascii="宋体" w:hAnsi="宋体"/>
          <w:color w:val="auto"/>
          <w:sz w:val="24"/>
        </w:rPr>
        <w:t>项目经理：</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姓    名：</w:t>
      </w:r>
      <w:r>
        <w:rPr>
          <w:rFonts w:ascii="宋体" w:hAnsi="宋体"/>
          <w:color w:val="auto"/>
          <w:sz w:val="24"/>
          <w:u w:val="single"/>
        </w:rPr>
        <w:t></w:t>
      </w:r>
      <w:r>
        <w:rPr>
          <w:rFonts w:hint="eastAsia" w:ascii="宋体" w:hAnsi="宋体"/>
          <w:color w:val="auto"/>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身份证号：</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建造师执业资格等级：</w:t>
      </w:r>
      <w:r>
        <w:rPr>
          <w:rFonts w:ascii="宋体" w:hAnsi="宋体"/>
          <w:color w:val="auto"/>
          <w:sz w:val="24"/>
          <w:u w:val="single"/>
        </w:rPr>
        <w:t></w:t>
      </w:r>
      <w:r>
        <w:rPr>
          <w:rFonts w:hint="eastAsia" w:ascii="宋体" w:hAnsi="宋体"/>
          <w:color w:val="auto"/>
          <w:u w:val="single"/>
        </w:rPr>
        <w:t xml:space="preserve">             </w:t>
      </w:r>
      <w:r>
        <w:rPr>
          <w:rFonts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建造师注册证书号：</w:t>
      </w:r>
      <w:r>
        <w:rPr>
          <w:rFonts w:ascii="宋体" w:hAnsi="宋体"/>
          <w:color w:val="auto"/>
          <w:sz w:val="24"/>
          <w:u w:val="single"/>
        </w:rPr>
        <w:t></w:t>
      </w:r>
      <w:r>
        <w:rPr>
          <w:rFonts w:hint="eastAsia" w:ascii="宋体" w:hAnsi="宋体"/>
          <w:color w:val="auto"/>
          <w:u w:val="single"/>
        </w:rPr>
        <w:t xml:space="preserve">            </w:t>
      </w:r>
      <w:r>
        <w:rPr>
          <w:rFonts w:ascii="宋体" w:hAnsi="宋体"/>
          <w:color w:val="auto"/>
          <w:u w:val="single"/>
        </w:rPr>
        <w:t></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建造师执业印章号：</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安全生产考核合格证书号：</w:t>
      </w:r>
      <w:r>
        <w:rPr>
          <w:rFonts w:ascii="宋体" w:hAnsi="宋体"/>
          <w:color w:val="auto"/>
          <w:sz w:val="24"/>
          <w:u w:val="single"/>
        </w:rPr>
        <w:t></w:t>
      </w:r>
      <w:r>
        <w:rPr>
          <w:rFonts w:hint="eastAsia" w:ascii="宋体" w:hAnsi="宋体"/>
          <w:color w:val="auto"/>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电子信箱：</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通信地址：</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承包人对项目经理的授权范围如下：</w:t>
      </w:r>
      <w:r>
        <w:rPr>
          <w:rFonts w:hint="eastAsia" w:ascii="宋体" w:hAnsi="宋体"/>
          <w:color w:val="auto"/>
          <w:sz w:val="24"/>
          <w:u w:val="single"/>
        </w:rPr>
        <w:t xml:space="preserve">   </w:t>
      </w:r>
      <w:r>
        <w:rPr>
          <w:rFonts w:hint="eastAsia" w:ascii="宋体" w:hAnsi="宋体" w:cs="宋体"/>
          <w:color w:val="auto"/>
          <w:u w:val="single"/>
        </w:rPr>
        <w:t>代表承包人行使合同约定的权利和义务，履行合同约定的各项职责。</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关于项目经理每月在施工现场的时间要求：</w:t>
      </w:r>
      <w:r>
        <w:rPr>
          <w:rFonts w:ascii="宋体" w:hAnsi="宋体"/>
          <w:color w:val="auto"/>
          <w:sz w:val="24"/>
          <w:u w:val="single"/>
        </w:rPr>
        <w:t xml:space="preserve">  </w:t>
      </w:r>
      <w:r>
        <w:rPr>
          <w:rFonts w:hint="eastAsia" w:ascii="宋体" w:hAnsi="宋体" w:cs="宋体"/>
          <w:color w:val="auto"/>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color w:val="auto"/>
          <w:sz w:val="24"/>
          <w:u w:val="single"/>
        </w:rPr>
        <w:t></w:t>
      </w:r>
    </w:p>
    <w:p>
      <w:pPr>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承包人未提交劳动合同，以及没有为项目经理缴纳社会保险证明的违约责任：</w:t>
      </w:r>
      <w:r>
        <w:rPr>
          <w:rFonts w:ascii="宋体" w:hAnsi="宋体"/>
          <w:color w:val="auto"/>
          <w:sz w:val="24"/>
          <w:u w:val="single"/>
        </w:rPr>
        <w:t xml:space="preserve">  </w:t>
      </w:r>
      <w:r>
        <w:rPr>
          <w:rFonts w:hint="eastAsia" w:ascii="宋体" w:hAnsi="宋体" w:cs="宋体"/>
          <w:color w:val="auto"/>
          <w:u w:val="single"/>
        </w:rPr>
        <w:t>由承包人承担</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u w:val="single"/>
        </w:rPr>
      </w:pPr>
      <w:r>
        <w:rPr>
          <w:rFonts w:ascii="宋体" w:hAnsi="宋体"/>
          <w:color w:val="auto"/>
          <w:kern w:val="0"/>
          <w:sz w:val="24"/>
        </w:rPr>
        <w:t>项目经理未经批准，擅自离开施工现场的违约责任：</w:t>
      </w:r>
      <w:r>
        <w:rPr>
          <w:rFonts w:ascii="宋体" w:hAnsi="宋体"/>
          <w:color w:val="auto"/>
          <w:sz w:val="24"/>
          <w:u w:val="single"/>
        </w:rPr>
        <w:t xml:space="preserve">  </w:t>
      </w:r>
      <w:r>
        <w:rPr>
          <w:rFonts w:ascii="宋体" w:hAnsi="宋体"/>
          <w:color w:val="auto"/>
          <w:sz w:val="24"/>
          <w:u w:val="single"/>
        </w:rPr>
        <w:t xml:space="preserve"> </w:t>
      </w:r>
      <w:r>
        <w:rPr>
          <w:rFonts w:hint="eastAsia" w:ascii="宋体" w:hAnsi="宋体" w:cs="宋体"/>
          <w:color w:val="auto"/>
          <w:u w:val="single"/>
        </w:rPr>
        <w:t>5000元/次</w:t>
      </w:r>
      <w:r>
        <w:rPr>
          <w:rFonts w:hint="eastAsia"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3.2.3 承包人擅自更换项目经理的违约责任：</w:t>
      </w:r>
      <w:r>
        <w:rPr>
          <w:rFonts w:hint="eastAsia" w:ascii="宋体" w:hAnsi="宋体"/>
          <w:color w:val="auto"/>
          <w:sz w:val="24"/>
          <w:u w:val="single"/>
        </w:rPr>
        <w:t xml:space="preserve">  </w:t>
      </w:r>
      <w:r>
        <w:rPr>
          <w:rFonts w:hint="eastAsia" w:ascii="宋体" w:hAnsi="宋体" w:cs="宋体"/>
          <w:color w:val="auto"/>
          <w:u w:val="single"/>
        </w:rPr>
        <w:t>不得</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outlineLvl w:val="0"/>
        <w:rPr>
          <w:rFonts w:ascii="宋体" w:hAnsi="宋体"/>
          <w:color w:val="auto"/>
          <w:sz w:val="24"/>
        </w:rPr>
      </w:pPr>
      <w:r>
        <w:rPr>
          <w:rFonts w:ascii="宋体" w:hAnsi="宋体"/>
          <w:color w:val="auto"/>
          <w:sz w:val="24"/>
        </w:rPr>
        <w:t xml:space="preserve">    3.2.4 承包人无正当理由拒绝更换项目经理的违约责任：</w:t>
      </w:r>
      <w:r>
        <w:rPr>
          <w:rFonts w:hint="eastAsia" w:ascii="宋体" w:hAnsi="宋体"/>
          <w:color w:val="auto"/>
          <w:sz w:val="24"/>
          <w:u w:val="single"/>
        </w:rPr>
        <w:t xml:space="preserve">   </w:t>
      </w:r>
      <w:r>
        <w:rPr>
          <w:rFonts w:hint="eastAsia" w:ascii="宋体" w:hAnsi="宋体" w:cs="宋体"/>
          <w:color w:val="auto"/>
          <w:u w:val="single"/>
        </w:rPr>
        <w:t>不得</w:t>
      </w:r>
      <w:r>
        <w:rPr>
          <w:rFonts w:hint="eastAsia"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3.3 承包人人员</w:t>
      </w:r>
    </w:p>
    <w:p>
      <w:pPr>
        <w:adjustRightInd w:val="0"/>
        <w:snapToGrid w:val="0"/>
        <w:spacing w:line="360" w:lineRule="auto"/>
        <w:ind w:firstLine="480" w:firstLineChars="200"/>
        <w:rPr>
          <w:rFonts w:ascii="宋体" w:hAnsi="宋体"/>
          <w:color w:val="auto"/>
          <w:sz w:val="24"/>
        </w:rPr>
      </w:pPr>
      <w:r>
        <w:rPr>
          <w:rFonts w:ascii="宋体" w:hAnsi="宋体"/>
          <w:color w:val="auto"/>
          <w:sz w:val="24"/>
        </w:rPr>
        <w:t>3.3.1 承包人提交项目管理机构及施工现场管理人员安排报告的期限：</w:t>
      </w:r>
      <w:r>
        <w:rPr>
          <w:rFonts w:ascii="宋体" w:hAnsi="宋体"/>
          <w:color w:val="auto"/>
          <w:sz w:val="24"/>
          <w:u w:val="single"/>
        </w:rPr>
        <w:t xml:space="preserve"> </w:t>
      </w:r>
      <w:r>
        <w:rPr>
          <w:rFonts w:hint="eastAsia" w:ascii="宋体" w:hAnsi="宋体" w:cs="宋体"/>
          <w:color w:val="auto"/>
          <w:u w:val="single"/>
        </w:rPr>
        <w:t>开工前7天</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3.3.3 承包人无正当理由拒绝撤换主要施工管理人员的违约责任：</w:t>
      </w:r>
      <w:r>
        <w:rPr>
          <w:rFonts w:hint="eastAsia" w:ascii="宋体" w:hAnsi="宋体"/>
          <w:color w:val="auto"/>
          <w:sz w:val="24"/>
          <w:u w:val="single"/>
        </w:rPr>
        <w:t xml:space="preserve">  </w:t>
      </w:r>
      <w:r>
        <w:rPr>
          <w:rFonts w:hint="eastAsia" w:ascii="宋体" w:hAnsi="宋体" w:cs="宋体"/>
          <w:color w:val="auto"/>
          <w:u w:val="single"/>
        </w:rPr>
        <w:t>不得</w:t>
      </w:r>
      <w:r>
        <w:rPr>
          <w:rFonts w:hint="eastAsia"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u w:val="single"/>
        </w:rPr>
      </w:pPr>
      <w:r>
        <w:rPr>
          <w:rFonts w:ascii="宋体" w:hAnsi="宋体"/>
          <w:color w:val="auto"/>
          <w:sz w:val="24"/>
        </w:rPr>
        <w:t xml:space="preserve">3.3.4 承包人主要施工管理人员离开施工现场的批准要求：   </w:t>
      </w:r>
      <w:r>
        <w:rPr>
          <w:rFonts w:hint="eastAsia" w:ascii="宋体" w:hAnsi="宋体" w:cs="宋体"/>
          <w:color w:val="auto"/>
          <w:u w:val="single"/>
        </w:rPr>
        <w:t>须征得发包人书面同意</w:t>
      </w:r>
      <w:r>
        <w:rPr>
          <w:rFonts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3.3.5承包人擅自更换主要施工管理人员的违约责任：</w:t>
      </w:r>
      <w:r>
        <w:rPr>
          <w:rFonts w:hint="eastAsia"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s="宋体"/>
          <w:color w:val="auto"/>
          <w:u w:val="single"/>
        </w:rPr>
        <w:t>不得</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承包人主要施工管理人员擅自离开施工现场的违约责任：</w:t>
      </w:r>
      <w:r>
        <w:rPr>
          <w:rFonts w:hint="eastAsia" w:ascii="宋体" w:hAnsi="宋体"/>
          <w:color w:val="auto"/>
          <w:sz w:val="24"/>
          <w:u w:val="single"/>
        </w:rPr>
        <w:t xml:space="preserve">  </w:t>
      </w:r>
      <w:r>
        <w:rPr>
          <w:rFonts w:hint="eastAsia" w:ascii="宋体" w:hAnsi="宋体" w:cs="宋体"/>
          <w:color w:val="auto"/>
          <w:u w:val="single"/>
        </w:rPr>
        <w:t>不得</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3.5 分包</w:t>
      </w:r>
    </w:p>
    <w:p>
      <w:pPr>
        <w:adjustRightInd w:val="0"/>
        <w:snapToGrid w:val="0"/>
        <w:spacing w:line="360" w:lineRule="auto"/>
        <w:ind w:firstLine="480" w:firstLineChars="200"/>
        <w:rPr>
          <w:rFonts w:ascii="宋体" w:hAnsi="宋体"/>
          <w:color w:val="auto"/>
          <w:sz w:val="24"/>
        </w:rPr>
      </w:pPr>
      <w:r>
        <w:rPr>
          <w:rFonts w:ascii="宋体" w:hAnsi="宋体"/>
          <w:color w:val="auto"/>
          <w:sz w:val="24"/>
        </w:rPr>
        <w:t>3.5.1 分包的一般约定</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禁止分包的工程包括：</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主体结构、关键性工作的范围：</w:t>
      </w:r>
      <w:r>
        <w:rPr>
          <w:rFonts w:hint="eastAsia" w:ascii="宋体" w:hAnsi="宋体"/>
          <w:color w:val="auto"/>
          <w:u w:val="single"/>
        </w:rPr>
        <w:t>本工程严禁转包，一经发现，即中止合同，并赔偿由此造成的一切损失。专业工程分包需符合相关规定，并报监理人和发包人批准</w:t>
      </w:r>
      <w:r>
        <w:rPr>
          <w:rFonts w:ascii="宋体" w:hAnsi="宋体"/>
          <w:color w:val="auto"/>
          <w:sz w:val="24"/>
        </w:rPr>
        <w:t>。</w:t>
      </w:r>
    </w:p>
    <w:p>
      <w:pPr>
        <w:adjustRightInd w:val="0"/>
        <w:snapToGrid w:val="0"/>
        <w:spacing w:line="360" w:lineRule="auto"/>
        <w:rPr>
          <w:rFonts w:ascii="宋体" w:hAnsi="宋体"/>
          <w:color w:val="auto"/>
          <w:sz w:val="24"/>
        </w:rPr>
      </w:pPr>
      <w:r>
        <w:rPr>
          <w:rFonts w:ascii="宋体" w:hAnsi="宋体"/>
          <w:color w:val="auto"/>
          <w:sz w:val="24"/>
        </w:rPr>
        <w:t xml:space="preserve">    3.5.2分包的确定</w:t>
      </w:r>
    </w:p>
    <w:p>
      <w:pPr>
        <w:adjustRightInd w:val="0"/>
        <w:snapToGrid w:val="0"/>
        <w:spacing w:line="360" w:lineRule="auto"/>
        <w:ind w:firstLine="480" w:firstLineChars="200"/>
        <w:rPr>
          <w:rFonts w:ascii="宋体" w:hAnsi="宋体"/>
          <w:color w:val="auto"/>
          <w:sz w:val="24"/>
          <w:u w:val="single"/>
        </w:rPr>
      </w:pPr>
      <w:r>
        <w:rPr>
          <w:rFonts w:ascii="宋体" w:hAnsi="宋体"/>
          <w:color w:val="auto"/>
          <w:sz w:val="24"/>
        </w:rPr>
        <w:t>允许分包的专业工程包括：</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其他关于分包的约定：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3.5.4 分包合同价款</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关于分包合同价款支付的约定：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3.6 工程照管与成品、半成品保护</w:t>
      </w:r>
    </w:p>
    <w:p>
      <w:pPr>
        <w:adjustRightInd w:val="0"/>
        <w:snapToGrid w:val="0"/>
        <w:spacing w:before="120" w:after="120" w:line="360" w:lineRule="auto"/>
        <w:ind w:firstLine="480" w:firstLineChars="200"/>
        <w:rPr>
          <w:rFonts w:ascii="宋体" w:hAnsi="宋体"/>
          <w:color w:val="auto"/>
          <w:kern w:val="0"/>
          <w:sz w:val="24"/>
          <w:u w:val="single"/>
        </w:rPr>
      </w:pPr>
      <w:r>
        <w:rPr>
          <w:rFonts w:ascii="宋体" w:hAnsi="宋体"/>
          <w:color w:val="auto"/>
          <w:kern w:val="0"/>
          <w:sz w:val="24"/>
        </w:rPr>
        <w:t>承包人负责照管工程及工程相关的材料、工程设备的起始时间：</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3.7 履约担保</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承包人是否提供履约担保：</w:t>
      </w:r>
      <w:r>
        <w:rPr>
          <w:rFonts w:ascii="宋体" w:hAnsi="宋体"/>
          <w:color w:val="auto"/>
          <w:sz w:val="24"/>
          <w:u w:val="single"/>
        </w:rPr>
        <w:t xml:space="preserve">  </w:t>
      </w:r>
      <w:r>
        <w:rPr>
          <w:rFonts w:hint="eastAsia" w:ascii="宋体" w:hAnsi="宋体" w:cs="宋体"/>
          <w:color w:val="auto"/>
          <w:u w:val="single"/>
        </w:rPr>
        <w:t>不提供</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承包人提供履约担保的形式</w:t>
      </w:r>
      <w:r>
        <w:rPr>
          <w:rFonts w:hint="eastAsia" w:ascii="宋体" w:hAnsi="宋体"/>
          <w:color w:val="auto"/>
          <w:sz w:val="24"/>
        </w:rPr>
        <w:t>、金额及期限的</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4. 监理人</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4.1监理人的一般规定</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关于监理人的监理内容：</w:t>
      </w:r>
      <w:r>
        <w:rPr>
          <w:rFonts w:ascii="宋体" w:hAnsi="宋体"/>
          <w:color w:val="auto"/>
          <w:sz w:val="24"/>
          <w:u w:val="single"/>
        </w:rPr>
        <w:t xml:space="preserve">   </w:t>
      </w:r>
      <w:r>
        <w:rPr>
          <w:rFonts w:hint="eastAsia" w:ascii="宋体" w:hAnsi="宋体" w:cs="宋体"/>
          <w:color w:val="auto"/>
          <w:u w:val="single"/>
        </w:rPr>
        <w:t>按监理合同执行</w:t>
      </w:r>
      <w:r>
        <w:rPr>
          <w:rFonts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关于监理人的监理权限：</w:t>
      </w:r>
      <w:r>
        <w:rPr>
          <w:rFonts w:ascii="宋体" w:hAnsi="宋体"/>
          <w:color w:val="auto"/>
          <w:sz w:val="24"/>
          <w:u w:val="single"/>
        </w:rPr>
        <w:t xml:space="preserve">   </w:t>
      </w:r>
      <w:r>
        <w:rPr>
          <w:rFonts w:hint="eastAsia" w:ascii="宋体" w:hAnsi="宋体" w:cs="宋体"/>
          <w:color w:val="auto"/>
          <w:u w:val="single"/>
        </w:rPr>
        <w:t>按监理合同执行</w:t>
      </w:r>
      <w:r>
        <w:rPr>
          <w:rFonts w:ascii="宋体" w:hAnsi="宋体"/>
          <w:color w:val="auto"/>
          <w:sz w:val="24"/>
          <w:u w:val="single"/>
        </w:rPr>
        <w:t xml:space="preserve">       </w:t>
      </w:r>
      <w:r>
        <w:rPr>
          <w:rFonts w:ascii="宋体" w:hAnsi="宋体"/>
          <w:color w:val="auto"/>
          <w:sz w:val="24"/>
        </w:rPr>
        <w:t xml:space="preserve">。 </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关于监理人在施工现场的办公场所、生活场所的提供和费用承担的约定：</w:t>
      </w:r>
      <w:r>
        <w:rPr>
          <w:rFonts w:hint="eastAsia" w:ascii="宋体" w:hAnsi="宋体" w:cs="宋体"/>
          <w:color w:val="auto"/>
          <w:u w:val="single"/>
        </w:rPr>
        <w:t>按监理合同执行</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4.2 监理人员</w:t>
      </w:r>
    </w:p>
    <w:p>
      <w:pPr>
        <w:adjustRightInd w:val="0"/>
        <w:snapToGrid w:val="0"/>
        <w:spacing w:line="360" w:lineRule="auto"/>
        <w:ind w:firstLine="480" w:firstLineChars="200"/>
        <w:rPr>
          <w:rFonts w:ascii="宋体" w:hAnsi="宋体"/>
          <w:color w:val="auto"/>
          <w:sz w:val="24"/>
        </w:rPr>
      </w:pPr>
      <w:r>
        <w:rPr>
          <w:rFonts w:ascii="宋体" w:hAnsi="宋体"/>
          <w:color w:val="auto"/>
          <w:sz w:val="24"/>
        </w:rPr>
        <w:t>总监理工程师：</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姓    名：</w:t>
      </w:r>
      <w:r>
        <w:rPr>
          <w:rFonts w:ascii="宋体" w:hAnsi="宋体"/>
          <w:color w:val="auto"/>
          <w:sz w:val="24"/>
          <w:u w:val="single"/>
        </w:rPr>
        <w:t>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职    务：</w:t>
      </w:r>
      <w:r>
        <w:rPr>
          <w:rFonts w:ascii="宋体" w:hAnsi="宋体"/>
          <w:color w:val="auto"/>
          <w:sz w:val="24"/>
          <w:u w:val="single"/>
        </w:rPr>
        <w:t>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监理工程师执业资格证书号：</w:t>
      </w:r>
      <w:r>
        <w:rPr>
          <w:rFonts w:ascii="宋体" w:hAnsi="宋体"/>
          <w:color w:val="auto"/>
          <w:sz w:val="24"/>
          <w:u w:val="single"/>
        </w:rPr>
        <w:t>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电子信箱：</w:t>
      </w:r>
      <w:r>
        <w:rPr>
          <w:rFonts w:ascii="宋体" w:hAnsi="宋体"/>
          <w:color w:val="auto"/>
          <w:sz w:val="24"/>
          <w:u w:val="single"/>
        </w:rPr>
        <w:t>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通信地址：</w:t>
      </w:r>
      <w:r>
        <w:rPr>
          <w:rFonts w:ascii="宋体" w:hAnsi="宋体"/>
          <w:color w:val="auto"/>
          <w:sz w:val="24"/>
          <w:u w:val="single"/>
        </w:rPr>
        <w:t>   </w:t>
      </w:r>
      <w:r>
        <w:rPr>
          <w:rFonts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关于监理人的其他约定：</w:t>
      </w:r>
      <w:r>
        <w:rPr>
          <w:rFonts w:hint="eastAsia" w:ascii="宋体" w:hAnsi="宋体" w:cs="宋体"/>
          <w:color w:val="auto"/>
          <w:u w:val="single"/>
        </w:rPr>
        <w:t>按监理合同执行</w:t>
      </w:r>
      <w:r>
        <w:rPr>
          <w:rFonts w:ascii="宋体" w:hAnsi="宋体"/>
          <w:color w:val="auto"/>
          <w:sz w:val="24"/>
          <w:u w:val="single"/>
        </w:rPr>
        <w:t></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5. 工程质量</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5.1 质量要求</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5.1.1 特殊质量标准和要求：</w:t>
      </w:r>
      <w:r>
        <w:rPr>
          <w:rFonts w:hint="eastAsia" w:ascii="宋体" w:hAnsi="宋体" w:cs="宋体"/>
          <w:color w:val="auto"/>
          <w:u w:val="single"/>
        </w:rPr>
        <w:t>合格</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关于工程奖项的约定：</w:t>
      </w:r>
      <w:r>
        <w:rPr>
          <w:rFonts w:hint="eastAsia" w:ascii="宋体" w:hAnsi="宋体" w:cs="宋体"/>
          <w:color w:val="auto"/>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5.3 隐蔽工程检查</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5.3.2承包人提前通知监理人隐蔽工程检查的期限的约定</w:t>
      </w:r>
      <w:r>
        <w:rPr>
          <w:rFonts w:hint="eastAsia" w:ascii="宋体" w:hAnsi="宋体"/>
          <w:color w:val="auto"/>
          <w:sz w:val="24"/>
        </w:rPr>
        <w:t>：</w:t>
      </w:r>
      <w:r>
        <w:rPr>
          <w:rFonts w:hint="eastAsia" w:ascii="宋体" w:hAnsi="宋体"/>
          <w:color w:val="auto"/>
          <w:sz w:val="24"/>
          <w:u w:val="single"/>
        </w:rPr>
        <w:t>24小时</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监理人不能按时进行检查时，应提前</w:t>
      </w:r>
      <w:r>
        <w:rPr>
          <w:rFonts w:ascii="宋体" w:hAnsi="宋体"/>
          <w:color w:val="auto"/>
          <w:sz w:val="24"/>
          <w:u w:val="single"/>
        </w:rPr>
        <w:t xml:space="preserve"> </w:t>
      </w:r>
      <w:r>
        <w:rPr>
          <w:rFonts w:hint="eastAsia" w:ascii="宋体" w:hAnsi="宋体"/>
          <w:color w:val="auto"/>
          <w:sz w:val="24"/>
          <w:u w:val="single"/>
        </w:rPr>
        <w:t>24</w:t>
      </w:r>
      <w:r>
        <w:rPr>
          <w:rFonts w:ascii="宋体" w:hAnsi="宋体"/>
          <w:color w:val="auto"/>
          <w:sz w:val="24"/>
          <w:u w:val="single"/>
        </w:rPr>
        <w:t xml:space="preserve"> </w:t>
      </w:r>
      <w:r>
        <w:rPr>
          <w:rFonts w:ascii="宋体" w:hAnsi="宋体"/>
          <w:color w:val="auto"/>
          <w:sz w:val="24"/>
        </w:rPr>
        <w:t>小时提交书面延期要求。</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关于延期最长不得超过：</w:t>
      </w:r>
      <w:r>
        <w:rPr>
          <w:rFonts w:ascii="宋体" w:hAnsi="宋体"/>
          <w:color w:val="auto"/>
          <w:sz w:val="24"/>
          <w:u w:val="single"/>
        </w:rPr>
        <w:t xml:space="preserve"> </w:t>
      </w:r>
      <w:r>
        <w:rPr>
          <w:rFonts w:hint="eastAsia" w:ascii="宋体" w:hAnsi="宋体"/>
          <w:color w:val="auto"/>
          <w:sz w:val="24"/>
          <w:u w:val="single"/>
        </w:rPr>
        <w:t>48</w:t>
      </w:r>
      <w:r>
        <w:rPr>
          <w:rFonts w:ascii="宋体" w:hAnsi="宋体"/>
          <w:color w:val="auto"/>
          <w:sz w:val="24"/>
        </w:rPr>
        <w:t>小时。</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 xml:space="preserve">   6. 安全文明施工与环境保护</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6.1安全文明施工</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6.1.1</w:t>
      </w:r>
      <w:r>
        <w:rPr>
          <w:rFonts w:ascii="宋体" w:hAnsi="宋体"/>
          <w:color w:val="auto"/>
          <w:sz w:val="24"/>
        </w:rPr>
        <w:t xml:space="preserve"> 项目安全生产的达标目标及相应事项的约定：</w:t>
      </w:r>
      <w:r>
        <w:rPr>
          <w:rFonts w:hint="eastAsia"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6.1.4 关于治安保卫的特别约定：</w:t>
      </w:r>
      <w:r>
        <w:rPr>
          <w:rFonts w:hint="eastAsia"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关于编制施工场地治安管理计划的约定</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6.1.5 文明施工</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合同当事人对文明施工的要求：</w:t>
      </w:r>
      <w:r>
        <w:rPr>
          <w:rFonts w:hint="eastAsia" w:ascii="宋体" w:hAnsi="宋体"/>
          <w:color w:val="auto"/>
          <w:u w:val="single"/>
        </w:rPr>
        <w:t>保证安全生产，文明施工，减少扰民降低环境污染和噪音的措施</w:t>
      </w:r>
      <w:r>
        <w:rPr>
          <w:rFonts w:hint="eastAsia"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6.1.6 关于安全文明施工费支付比例和支付期限的约定：</w:t>
      </w:r>
      <w:r>
        <w:rPr>
          <w:rFonts w:hint="eastAsia" w:ascii="宋体" w:hAnsi="宋体"/>
          <w:color w:val="auto"/>
          <w:u w:val="single"/>
        </w:rPr>
        <w:t>现场安全文明施工措施费根据考核结果支付</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 xml:space="preserve">    7. 工期和进度</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7.1 施工组织设计</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sz w:val="24"/>
        </w:rPr>
        <w:t>7.1.</w:t>
      </w:r>
      <w:r>
        <w:rPr>
          <w:rFonts w:hint="eastAsia" w:ascii="宋体" w:hAnsi="宋体"/>
          <w:color w:val="auto"/>
          <w:sz w:val="24"/>
        </w:rPr>
        <w:t xml:space="preserve">1 </w:t>
      </w:r>
      <w:r>
        <w:rPr>
          <w:rFonts w:hint="eastAsia" w:ascii="宋体" w:hAnsi="宋体"/>
          <w:color w:val="auto"/>
          <w:sz w:val="24"/>
        </w:rPr>
        <w:t>合</w:t>
      </w:r>
      <w:r>
        <w:rPr>
          <w:rFonts w:hint="eastAsia" w:ascii="宋体" w:hAnsi="宋体"/>
          <w:color w:val="auto"/>
          <w:kern w:val="0"/>
          <w:sz w:val="24"/>
        </w:rPr>
        <w:t>同当事人约定的</w:t>
      </w:r>
      <w:r>
        <w:rPr>
          <w:rFonts w:ascii="宋体" w:hAnsi="宋体"/>
          <w:color w:val="auto"/>
          <w:kern w:val="0"/>
          <w:sz w:val="24"/>
        </w:rPr>
        <w:t>施工组织设计</w:t>
      </w:r>
      <w:r>
        <w:rPr>
          <w:rFonts w:hint="eastAsia" w:ascii="宋体" w:hAnsi="宋体"/>
          <w:color w:val="auto"/>
          <w:kern w:val="0"/>
          <w:sz w:val="24"/>
        </w:rPr>
        <w:t>应包括的其他内容</w:t>
      </w:r>
      <w:r>
        <w:rPr>
          <w:rFonts w:ascii="宋体" w:hAnsi="宋体"/>
          <w:color w:val="auto"/>
          <w:kern w:val="0"/>
          <w:sz w:val="24"/>
        </w:rPr>
        <w:t>：</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7.2 施工进度计划</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7.2.2 施工进度计划的修订</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发包人和监理人在收到修订的施工进度计划后确认或提出修改意见的期限：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7.3 开工</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7.3.1 开工准备</w:t>
      </w:r>
    </w:p>
    <w:p>
      <w:pPr>
        <w:adjustRightInd w:val="0"/>
        <w:snapToGrid w:val="0"/>
        <w:spacing w:line="360" w:lineRule="auto"/>
        <w:ind w:firstLine="645"/>
        <w:jc w:val="left"/>
        <w:rPr>
          <w:rFonts w:ascii="宋体" w:hAnsi="宋体"/>
          <w:color w:val="auto"/>
          <w:sz w:val="24"/>
          <w:u w:val="single"/>
        </w:rPr>
      </w:pPr>
      <w:r>
        <w:rPr>
          <w:rFonts w:ascii="宋体" w:hAnsi="宋体"/>
          <w:color w:val="auto"/>
          <w:sz w:val="24"/>
        </w:rPr>
        <w:t>关于承包人提交</w:t>
      </w:r>
      <w:r>
        <w:rPr>
          <w:rFonts w:ascii="宋体" w:hAnsi="宋体"/>
          <w:color w:val="auto"/>
          <w:kern w:val="0"/>
          <w:sz w:val="24"/>
        </w:rPr>
        <w:t>工程开工报审表的期限：</w:t>
      </w:r>
      <w:r>
        <w:rPr>
          <w:rFonts w:hint="eastAsia" w:ascii="宋体" w:hAnsi="宋体"/>
          <w:color w:val="auto"/>
          <w:u w:val="single"/>
        </w:rPr>
        <w:t>在工程准备工作完成后，计划开工日期前7天提交开工报审表</w:t>
      </w:r>
      <w:r>
        <w:rPr>
          <w:rFonts w:ascii="宋体" w:hAnsi="宋体"/>
          <w:color w:val="auto"/>
          <w:sz w:val="24"/>
        </w:rPr>
        <w:t>。</w:t>
      </w:r>
    </w:p>
    <w:p>
      <w:pPr>
        <w:adjustRightInd w:val="0"/>
        <w:snapToGrid w:val="0"/>
        <w:spacing w:line="360" w:lineRule="auto"/>
        <w:ind w:firstLine="645"/>
        <w:jc w:val="left"/>
        <w:rPr>
          <w:rFonts w:ascii="宋体" w:hAnsi="宋体"/>
          <w:color w:val="auto"/>
          <w:sz w:val="24"/>
        </w:rPr>
      </w:pPr>
      <w:r>
        <w:rPr>
          <w:rFonts w:ascii="宋体" w:hAnsi="宋体"/>
          <w:color w:val="auto"/>
          <w:sz w:val="24"/>
        </w:rPr>
        <w:t>关于发包人应完成的其他开工准备工作及期限：</w:t>
      </w:r>
      <w:r>
        <w:rPr>
          <w:rFonts w:hint="eastAsia" w:ascii="宋体" w:hAnsi="宋体"/>
          <w:color w:val="auto"/>
          <w:u w:val="single"/>
        </w:rPr>
        <w:t>计划开工日期前</w:t>
      </w:r>
      <w:r>
        <w:rPr>
          <w:rFonts w:ascii="宋体" w:hAnsi="宋体" w:cs="宋体"/>
          <w:color w:val="auto"/>
          <w:u w:val="single"/>
        </w:rPr>
        <w:t>7</w:t>
      </w:r>
      <w:r>
        <w:rPr>
          <w:rFonts w:hint="eastAsia" w:ascii="宋体" w:hAnsi="宋体" w:cs="宋体"/>
          <w:color w:val="auto"/>
          <w:u w:val="single"/>
        </w:rPr>
        <w:t>天</w:t>
      </w:r>
      <w:r>
        <w:rPr>
          <w:rFonts w:ascii="宋体" w:hAnsi="宋体"/>
          <w:color w:val="auto"/>
          <w:sz w:val="24"/>
        </w:rPr>
        <w:t>。</w:t>
      </w:r>
    </w:p>
    <w:p>
      <w:pPr>
        <w:adjustRightInd w:val="0"/>
        <w:snapToGrid w:val="0"/>
        <w:spacing w:line="360" w:lineRule="auto"/>
        <w:ind w:firstLine="645"/>
        <w:jc w:val="left"/>
        <w:rPr>
          <w:rFonts w:ascii="宋体" w:hAnsi="宋体"/>
          <w:color w:val="auto"/>
          <w:sz w:val="24"/>
        </w:rPr>
      </w:pPr>
      <w:r>
        <w:rPr>
          <w:rFonts w:ascii="宋体" w:hAnsi="宋体"/>
          <w:color w:val="auto"/>
          <w:sz w:val="24"/>
        </w:rPr>
        <w:t>关于承包人应完成的其他开工准备工作及期限：</w:t>
      </w:r>
      <w:r>
        <w:rPr>
          <w:rFonts w:hint="eastAsia" w:ascii="宋体" w:hAnsi="宋体"/>
          <w:color w:val="auto"/>
          <w:u w:val="single"/>
        </w:rPr>
        <w:t>计划开工日期前</w:t>
      </w:r>
      <w:r>
        <w:rPr>
          <w:rFonts w:ascii="宋体" w:hAnsi="宋体" w:cs="宋体"/>
          <w:color w:val="auto"/>
          <w:u w:val="single"/>
        </w:rPr>
        <w:t>7</w:t>
      </w:r>
      <w:r>
        <w:rPr>
          <w:rFonts w:hint="eastAsia" w:ascii="宋体" w:hAnsi="宋体" w:cs="宋体"/>
          <w:color w:val="auto"/>
          <w:u w:val="single"/>
        </w:rPr>
        <w:t>天</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7.3.2开工通知</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因发包人原因造成监理人未能在计划开工日期之日起</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天内发出开工通知的，承包人有权提出价格调整要求，或者解除合同。</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7.4 测量放线</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7.4.1发包人通过监理人向承包人提供测量基准点、基准线和水准点及其书面资料的期限：</w:t>
      </w:r>
      <w:r>
        <w:rPr>
          <w:rFonts w:hint="eastAsia" w:ascii="宋体" w:hAnsi="宋体"/>
          <w:color w:val="auto"/>
          <w:kern w:val="0"/>
          <w:szCs w:val="21"/>
          <w:u w:val="single"/>
        </w:rPr>
        <w:t>承包人进驻施工现场后7天内</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7.5 工期延误</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7.5.1 因发包人原因导致工期延误</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（7）因发包人原因导致工期延误的其他情形：</w:t>
      </w:r>
      <w:bookmarkStart w:id="103" w:name="EBe97a249140f944629a6c9bc13dd70b07"/>
      <w:r>
        <w:rPr>
          <w:rFonts w:hint="eastAsia" w:ascii="宋体" w:hAnsi="宋体"/>
          <w:color w:val="auto"/>
          <w:u w:val="single"/>
        </w:rPr>
        <w:t>不可抗力因素、造成工期严重影响（延误10天以上）的设计变更、因地质情况引起的地基基础处理</w:t>
      </w:r>
      <w:bookmarkEnd w:id="103"/>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7.5.2 因承包人原因导致工期延误</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因承包人原因造成工期延误，逾期竣工违约金的计算方法为：</w:t>
      </w:r>
      <w:r>
        <w:rPr>
          <w:rFonts w:hint="eastAsia" w:ascii="宋体" w:hAnsi="宋体"/>
          <w:color w:val="auto"/>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color w:val="auto"/>
          <w:sz w:val="24"/>
          <w:u w:val="single"/>
        </w:rPr>
        <w:t xml:space="preserve"> </w:t>
      </w:r>
      <w:r>
        <w:rPr>
          <w:rFonts w:ascii="宋体" w:hAnsi="宋体"/>
          <w:color w:val="auto"/>
          <w:sz w:val="24"/>
        </w:rPr>
        <w:t xml:space="preserve">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因承包人原因造成工期延误，逾期竣工违约金的上限：</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7.6 不利物质条件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不利物质条件的其他情形和有关约定：</w:t>
      </w:r>
      <w:r>
        <w:rPr>
          <w:rFonts w:hint="eastAsia" w:ascii="宋体" w:hAnsi="宋体" w:cs="宋体"/>
          <w:color w:val="auto"/>
          <w:u w:val="single"/>
        </w:rPr>
        <w:t>按通用条款执行</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7.7异常恶劣的气候条件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发包人和承包人同意以下情形视为异常恶劣的气候条件：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w:t>
      </w:r>
      <w:r>
        <w:rPr>
          <w:rFonts w:hint="eastAsia" w:ascii="宋体" w:hAnsi="宋体" w:cs="宋体"/>
          <w:color w:val="auto"/>
          <w:u w:val="single"/>
        </w:rPr>
        <w:t>按通用条款执行</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7.9 提前竣工的奖励</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7.9.2提前竣工的奖励：</w:t>
      </w:r>
      <w:r>
        <w:rPr>
          <w:rFonts w:hint="eastAsia"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 xml:space="preserve">    8. 材料与设备</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8.4材料与工程设备的保管与使用</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8.6 样品</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8.6.1</w:t>
      </w:r>
      <w:r>
        <w:rPr>
          <w:rFonts w:ascii="宋体" w:hAnsi="宋体"/>
          <w:color w:val="auto"/>
          <w:kern w:val="0"/>
          <w:sz w:val="24"/>
        </w:rPr>
        <w:tab/>
      </w:r>
      <w:r>
        <w:rPr>
          <w:rFonts w:ascii="宋体" w:hAnsi="宋体"/>
          <w:color w:val="auto"/>
          <w:kern w:val="0"/>
          <w:sz w:val="24"/>
        </w:rPr>
        <w:t>样品的报送</w:t>
      </w:r>
      <w:r>
        <w:rPr>
          <w:rFonts w:hint="eastAsia" w:ascii="宋体" w:hAnsi="宋体"/>
          <w:color w:val="auto"/>
          <w:kern w:val="0"/>
          <w:sz w:val="24"/>
        </w:rPr>
        <w:t>与封存</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需要承包人报送样品的材料或工程设备，样品的种类、名称、规格、数量要求：</w:t>
      </w:r>
      <w:bookmarkStart w:id="104" w:name="EB689ded171f10418da62405f60d9ed548"/>
      <w:r>
        <w:rPr>
          <w:rFonts w:hint="eastAsia" w:ascii="宋体" w:hAnsi="宋体"/>
          <w:color w:val="auto"/>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4"/>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8.8 施工设备和临时设施</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关于修建临时设施费用承担的约定：</w:t>
      </w:r>
      <w:bookmarkStart w:id="105" w:name="EBcf6cb69e3ee84f48b5935e4553620b81"/>
      <w:r>
        <w:rPr>
          <w:rFonts w:hint="eastAsia" w:ascii="宋体" w:hAnsi="宋体"/>
          <w:color w:val="auto"/>
          <w:u w:val="single"/>
        </w:rPr>
        <w:t>1)需要发包人办理申请手续和承担相关费用的临时占地：均由承包人负责，已包含在投标报价的临时设施费用中</w:t>
      </w:r>
      <w:bookmarkEnd w:id="105"/>
      <w:r>
        <w:rPr>
          <w:rFonts w:hint="eastAsia" w:ascii="宋体" w:hAnsi="宋体"/>
          <w:color w:val="auto"/>
          <w:u w:val="single"/>
        </w:rPr>
        <w:t>;2)发包人提供的施工设备和临时设施的运行、维护、拆除、清运费用的承担人：</w:t>
      </w:r>
      <w:bookmarkStart w:id="106" w:name="EBac5c9033341d4cc99749a207c4b9cbde"/>
      <w:r>
        <w:rPr>
          <w:rFonts w:hint="eastAsia" w:ascii="宋体" w:hAnsi="宋体"/>
          <w:color w:val="auto"/>
          <w:u w:val="single"/>
        </w:rPr>
        <w:t>承包人负责接计量柜及水表，并负责使用期间的保养、维护，承担相应费用，费用已包含在总报价中</w:t>
      </w:r>
      <w:bookmarkEnd w:id="106"/>
      <w:r>
        <w:rPr>
          <w:rFonts w:hint="eastAsia" w:ascii="宋体" w:hAnsi="宋体" w:cs="宋体"/>
          <w:color w:val="auto"/>
          <w:u w:val="single"/>
        </w:rPr>
        <w:t>。</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9. 试验与检验</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9.1试验设备与试验人员</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9.1.2 试验设备</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施工现场需要配置的试验场所：</w:t>
      </w:r>
      <w:r>
        <w:rPr>
          <w:rFonts w:hint="eastAsia" w:ascii="宋体" w:hAnsi="宋体" w:cs="宋体"/>
          <w:color w:val="auto"/>
          <w:u w:val="single"/>
        </w:rPr>
        <w:t>按通用条款执行</w:t>
      </w:r>
      <w:r>
        <w:rPr>
          <w:rFonts w:ascii="宋体" w:hAnsi="宋体"/>
          <w:color w:val="auto"/>
          <w:sz w:val="24"/>
        </w:rPr>
        <w:t>。</w:t>
      </w:r>
      <w:r>
        <w:rPr>
          <w:rFonts w:hint="eastAsia" w:ascii="宋体" w:hAnsi="宋体"/>
          <w:color w:val="auto"/>
          <w:sz w:val="24"/>
        </w:rPr>
        <w:t xml:space="preserve">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施工现场需要配备的试验设备：</w:t>
      </w:r>
      <w:r>
        <w:rPr>
          <w:rFonts w:hint="eastAsia" w:ascii="宋体" w:hAnsi="宋体" w:cs="宋体"/>
          <w:color w:val="auto"/>
          <w:u w:val="single"/>
        </w:rPr>
        <w:t>按通用条款执行</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施工现场需要具备的其他试验条件：</w:t>
      </w:r>
      <w:r>
        <w:rPr>
          <w:rFonts w:hint="eastAsia" w:ascii="宋体" w:hAnsi="宋体" w:cs="宋体"/>
          <w:color w:val="auto"/>
          <w:u w:val="single"/>
        </w:rPr>
        <w:t>按通用条款执行</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9.4 现场工艺试验</w:t>
      </w:r>
      <w:r>
        <w:rPr>
          <w:rFonts w:hint="eastAsia" w:ascii="宋体" w:hAnsi="宋体"/>
          <w:color w:val="auto"/>
          <w:sz w:val="24"/>
        </w:rPr>
        <w:t xml:space="preserve">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现场工艺试验的有关约定：</w:t>
      </w:r>
      <w:r>
        <w:rPr>
          <w:rFonts w:hint="eastAsia" w:ascii="宋体" w:hAnsi="宋体"/>
          <w:color w:val="auto"/>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10. 变更</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10.1变更的范围</w:t>
      </w:r>
    </w:p>
    <w:p>
      <w:pPr>
        <w:adjustRightInd w:val="0"/>
        <w:snapToGrid w:val="0"/>
        <w:spacing w:line="360" w:lineRule="auto"/>
        <w:ind w:firstLine="600"/>
        <w:jc w:val="left"/>
        <w:rPr>
          <w:rFonts w:ascii="宋体" w:hAnsi="宋体"/>
          <w:color w:val="auto"/>
          <w:u w:val="single"/>
        </w:rPr>
      </w:pPr>
      <w:r>
        <w:rPr>
          <w:rFonts w:ascii="宋体" w:hAnsi="宋体"/>
          <w:color w:val="auto"/>
          <w:sz w:val="24"/>
        </w:rPr>
        <w:t>关于变更的范围的约定：</w:t>
      </w:r>
      <w:r>
        <w:rPr>
          <w:rFonts w:ascii="宋体" w:hAnsi="宋体"/>
          <w:color w:val="auto"/>
          <w:sz w:val="24"/>
          <w:u w:val="single"/>
        </w:rPr>
        <w:t xml:space="preserve"> </w:t>
      </w:r>
      <w:r>
        <w:rPr>
          <w:rFonts w:ascii="宋体" w:hAnsi="宋体"/>
          <w:color w:val="auto"/>
          <w:u w:val="single"/>
        </w:rPr>
        <w:t xml:space="preserve"> </w:t>
      </w:r>
      <w:r>
        <w:rPr>
          <w:rFonts w:hint="eastAsia" w:ascii="宋体" w:hAnsi="宋体"/>
          <w:color w:val="auto"/>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color w:val="auto"/>
          <w:u w:val="single"/>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10.4 变更估价</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10.4.1 变更估价原则</w:t>
      </w:r>
    </w:p>
    <w:p>
      <w:pPr>
        <w:pStyle w:val="21"/>
        <w:adjustRightInd w:val="0"/>
        <w:snapToGrid w:val="0"/>
        <w:spacing w:line="360" w:lineRule="auto"/>
        <w:ind w:firstLine="424" w:firstLineChars="177"/>
        <w:rPr>
          <w:rFonts w:ascii="宋体" w:hAnsi="宋体"/>
          <w:color w:val="auto"/>
          <w:sz w:val="24"/>
          <w:szCs w:val="24"/>
          <w:u w:val="single"/>
        </w:rPr>
      </w:pPr>
      <w:r>
        <w:rPr>
          <w:rFonts w:ascii="宋体" w:hAnsi="宋体"/>
          <w:color w:val="auto"/>
          <w:sz w:val="24"/>
          <w:szCs w:val="24"/>
        </w:rPr>
        <w:t xml:space="preserve">关于变更估价的约定: </w:t>
      </w:r>
      <w:r>
        <w:rPr>
          <w:rFonts w:hint="eastAsia" w:ascii="宋体" w:hAnsi="宋体"/>
          <w:color w:val="auto"/>
          <w:sz w:val="24"/>
          <w:szCs w:val="24"/>
          <w:u w:val="single"/>
        </w:rPr>
        <w:t xml:space="preserve">  </w:t>
      </w:r>
      <w:r>
        <w:rPr>
          <w:rFonts w:hint="eastAsia" w:ascii="宋体" w:hAnsi="宋体"/>
          <w:color w:val="auto"/>
          <w:sz w:val="24"/>
          <w:u w:val="single"/>
        </w:rPr>
        <w:t>/</w:t>
      </w:r>
      <w:r>
        <w:rPr>
          <w:rFonts w:hint="eastAsia" w:ascii="宋体" w:hAnsi="宋体"/>
          <w:color w:val="auto"/>
          <w:sz w:val="24"/>
          <w:szCs w:val="24"/>
          <w:u w:val="single"/>
        </w:rPr>
        <w:t xml:space="preserve"> 。</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10.5承包人的合理化建议</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监理人审查承包人合理化建议的期限：</w:t>
      </w:r>
      <w:r>
        <w:rPr>
          <w:rFonts w:hint="eastAsia"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发包人审批承包人合理化建议的期限：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承包人提出的合理化建议降低了合同价格或者提高了工程经济效益的奖励的方法和金额为：</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10.7 暂估价</w:t>
      </w:r>
      <w:r>
        <w:rPr>
          <w:rFonts w:ascii="宋体" w:hAnsi="宋体"/>
          <w:color w:val="auto"/>
          <w:sz w:val="24"/>
        </w:rPr>
        <w:t>：</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sz w:val="24"/>
        </w:rPr>
        <w:t>10.8 暂列金额</w:t>
      </w:r>
      <w:r>
        <w:rPr>
          <w:rFonts w:ascii="宋体" w:hAnsi="宋体"/>
          <w:color w:val="auto"/>
          <w:sz w:val="24"/>
        </w:rPr>
        <w:t>：</w:t>
      </w:r>
      <w:r>
        <w:rPr>
          <w:rFonts w:hint="eastAsia"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11. 价格调整</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11.1 市场价格波动引起的调整</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市场价格波动是否调整合同价格的约定：</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12. 合同价格、计量与支付</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12.1 合同价格形式</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w:t>
      </w:r>
      <w:r>
        <w:rPr>
          <w:rFonts w:hint="eastAsia" w:ascii="宋体" w:hAnsi="宋体"/>
          <w:color w:val="auto"/>
          <w:sz w:val="24"/>
        </w:rPr>
        <w:t>固定费率</w:t>
      </w:r>
      <w:r>
        <w:rPr>
          <w:rFonts w:ascii="宋体" w:hAnsi="宋体"/>
          <w:color w:val="auto"/>
          <w:sz w:val="24"/>
        </w:rPr>
        <w:t>合同。</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风险范围以外合同价格的调整方法：</w:t>
      </w:r>
      <w:r>
        <w:rPr>
          <w:rFonts w:hint="eastAsia" w:ascii="宋体" w:hAnsi="宋体"/>
          <w:color w:val="auto"/>
          <w:u w:val="single"/>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2、总价合同。</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总价包含的风险范围：</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风险费用的计算方法：</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风险范围以外合同价格的调整方法：</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3、其他价格方式：</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12.2 预付款</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12.2.1 预付款的支付</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预付款支付比例或金额：</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预付款支付期限：</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预付款扣回的方式：</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12.2.2 预付款担保</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承包人提交预付款担保的期限：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预付款担保的形式为：</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12.3 计量</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12.3.1 计量原则</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工程量计算规则：</w:t>
      </w:r>
      <w:r>
        <w:rPr>
          <w:rFonts w:hint="eastAsia" w:ascii="宋体" w:hAnsi="宋体"/>
          <w:color w:val="auto"/>
          <w:u w:val="single"/>
        </w:rPr>
        <w:t>执行国家标准《建设工程工程量清单计价规范》(GB50500-2013)</w:t>
      </w:r>
      <w:r>
        <w:rPr>
          <w:rFonts w:ascii="宋体" w:hAnsi="宋体"/>
          <w:color w:val="auto"/>
          <w:u w:val="single"/>
        </w:rPr>
        <w:t>或其适用的修订版本，承包人实际完成的工程量按约定的工程量计算规则和有合同约束力的图纸进行计量</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12.3.2 计量周期</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关于计量周期的约定：</w:t>
      </w:r>
      <w:r>
        <w:rPr>
          <w:rFonts w:hint="eastAsia" w:ascii="宋体" w:hAnsi="宋体"/>
          <w:color w:val="auto"/>
          <w:u w:val="single"/>
        </w:rPr>
        <w:t>合同的计量周期为月，每月25日为当月计量截止日期(不含当日)和下月计量起始日期(含当日)</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12.3.3 单价合同的计量</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关于单价合同计量的约定：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12.3.4 总价合同的计量</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关于总价合同计量的约定：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12.3.5总价合同采用支付分解表计量支付的，是否适用第</w:t>
      </w:r>
      <w:r>
        <w:rPr>
          <w:rFonts w:ascii="宋体" w:hAnsi="宋体"/>
          <w:color w:val="auto"/>
          <w:kern w:val="0"/>
          <w:sz w:val="24"/>
        </w:rPr>
        <w:t xml:space="preserve">12.3.4 </w:t>
      </w:r>
      <w:r>
        <w:rPr>
          <w:rFonts w:ascii="宋体" w:hAnsi="宋体"/>
          <w:color w:val="auto"/>
          <w:sz w:val="24"/>
        </w:rPr>
        <w:t>项</w:t>
      </w:r>
      <w:r>
        <w:rPr>
          <w:rFonts w:hint="eastAsia" w:ascii="宋体" w:hAnsi="宋体"/>
          <w:color w:val="auto"/>
          <w:kern w:val="0"/>
          <w:sz w:val="24"/>
        </w:rPr>
        <w:t>〔</w:t>
      </w:r>
      <w:r>
        <w:rPr>
          <w:rFonts w:ascii="宋体" w:hAnsi="宋体"/>
          <w:color w:val="auto"/>
          <w:kern w:val="0"/>
          <w:sz w:val="24"/>
        </w:rPr>
        <w:t>总价合同的计量</w:t>
      </w:r>
      <w:r>
        <w:rPr>
          <w:rFonts w:hint="eastAsia" w:ascii="宋体" w:hAnsi="宋体"/>
          <w:color w:val="auto"/>
          <w:kern w:val="0"/>
          <w:sz w:val="24"/>
        </w:rPr>
        <w:t>〕</w:t>
      </w:r>
      <w:r>
        <w:rPr>
          <w:rFonts w:ascii="宋体" w:hAnsi="宋体"/>
          <w:color w:val="auto"/>
          <w:sz w:val="24"/>
        </w:rPr>
        <w:t>约定</w:t>
      </w:r>
      <w:r>
        <w:rPr>
          <w:rFonts w:hint="eastAsia" w:ascii="宋体" w:hAnsi="宋体"/>
          <w:color w:val="auto"/>
          <w:sz w:val="24"/>
        </w:rPr>
        <w:t>进行计量：</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12.3.6 其他价格形式合同的计量</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其他价格形式的计量方式和程序：</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12.4 工程进度款支付</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12.4.1 付款周期</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关于付款周期的约定：</w:t>
      </w:r>
      <w:r>
        <w:rPr>
          <w:rFonts w:hint="eastAsia" w:ascii="宋体" w:hAnsi="宋体"/>
          <w:color w:val="auto"/>
          <w:u w:val="single"/>
        </w:rPr>
        <w:t>/</w:t>
      </w:r>
      <w:r>
        <w:rPr>
          <w:rFonts w:ascii="宋体" w:hAnsi="宋体"/>
          <w:color w:val="auto"/>
          <w:u w:val="single"/>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12.4.2 进度付款申请单的编制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关于进度付款申请单编制的约定：</w:t>
      </w:r>
      <w:r>
        <w:rPr>
          <w:rFonts w:hint="eastAsia" w:ascii="宋体" w:hAnsi="宋体"/>
          <w:color w:val="auto"/>
          <w:u w:val="single"/>
        </w:rPr>
        <w:t>/</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12.4.3 进度付款申请单的提交</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（1）单价合同进度付款申请单提交的约定</w:t>
      </w:r>
      <w:r>
        <w:rPr>
          <w:rFonts w:hint="eastAsia" w:ascii="宋体" w:hAnsi="宋体"/>
          <w:color w:val="auto"/>
          <w:sz w:val="24"/>
        </w:rPr>
        <w:t>：</w:t>
      </w:r>
      <w:r>
        <w:rPr>
          <w:rFonts w:hint="eastAsia" w:ascii="宋体" w:hAnsi="宋体" w:cs="宋体"/>
          <w:color w:val="auto"/>
          <w:u w:val="single"/>
        </w:rPr>
        <w:t>/</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（2）总价合同进度付款申请单提交的约定</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（3）其他价格形式合同进度付款申请单提交的约定</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12.4.4 进度款审核和支付</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（1）监理人审查并报送发包人的期限：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发包人完成审批并签发进度款支付证书的期限：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（2）发包人支付进度款的期限：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600" w:firstLineChars="250"/>
        <w:jc w:val="left"/>
        <w:rPr>
          <w:rFonts w:ascii="宋体" w:hAnsi="宋体"/>
          <w:color w:val="auto"/>
          <w:sz w:val="24"/>
        </w:rPr>
      </w:pPr>
      <w:r>
        <w:rPr>
          <w:rFonts w:ascii="宋体" w:hAnsi="宋体"/>
          <w:color w:val="auto"/>
          <w:sz w:val="24"/>
        </w:rPr>
        <w:t>发包人逾期支付进度款的违约金的计算方式：</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600" w:firstLineChars="250"/>
        <w:jc w:val="left"/>
        <w:rPr>
          <w:rFonts w:ascii="宋体" w:hAnsi="宋体"/>
          <w:color w:val="auto"/>
          <w:sz w:val="24"/>
        </w:rPr>
      </w:pPr>
      <w:r>
        <w:rPr>
          <w:rFonts w:ascii="宋体" w:hAnsi="宋体"/>
          <w:color w:val="auto"/>
          <w:sz w:val="24"/>
        </w:rPr>
        <w:t>12.4.6 支付分解表的编制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2、总价合同支付分解表的编制与审批：</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3、单价合同的总价项目支付分解表的编制与审批：</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12.</w:t>
      </w:r>
      <w:r>
        <w:rPr>
          <w:rFonts w:hint="eastAsia" w:ascii="宋体" w:hAnsi="宋体"/>
          <w:color w:val="auto"/>
          <w:sz w:val="24"/>
        </w:rPr>
        <w:t>5</w:t>
      </w:r>
      <w:r>
        <w:rPr>
          <w:rFonts w:ascii="宋体" w:hAnsi="宋体"/>
          <w:color w:val="auto"/>
          <w:sz w:val="24"/>
        </w:rPr>
        <w:t xml:space="preserve"> 工程款支付</w:t>
      </w:r>
    </w:p>
    <w:p>
      <w:pPr>
        <w:adjustRightInd w:val="0"/>
        <w:snapToGrid w:val="0"/>
        <w:spacing w:line="360" w:lineRule="auto"/>
        <w:ind w:firstLine="315" w:firstLineChars="150"/>
        <w:rPr>
          <w:rFonts w:ascii="宋体" w:hAnsi="宋体"/>
          <w:color w:val="auto"/>
          <w:szCs w:val="21"/>
          <w:u w:val="single"/>
        </w:rPr>
      </w:pPr>
      <w:r>
        <w:rPr>
          <w:rFonts w:hint="eastAsia" w:ascii="宋体" w:hAnsi="宋体"/>
          <w:color w:val="auto"/>
          <w:szCs w:val="21"/>
          <w:u w:val="single"/>
        </w:rPr>
        <w:t>双方约定的工程款（进度款）支付的方式和时间：</w:t>
      </w:r>
    </w:p>
    <w:p>
      <w:pPr>
        <w:adjustRightInd w:val="0"/>
        <w:snapToGrid w:val="0"/>
        <w:spacing w:line="360" w:lineRule="auto"/>
        <w:ind w:firstLine="315" w:firstLineChars="150"/>
        <w:rPr>
          <w:rFonts w:ascii="宋体" w:hAnsi="宋体"/>
          <w:color w:val="auto"/>
          <w:szCs w:val="21"/>
          <w:u w:val="single"/>
        </w:rPr>
      </w:pPr>
      <w:r>
        <w:rPr>
          <w:rFonts w:hint="eastAsia" w:ascii="宋体" w:hAnsi="宋体"/>
          <w:color w:val="auto"/>
          <w:szCs w:val="21"/>
          <w:u w:val="single"/>
        </w:rPr>
        <w:t>（1）</w:t>
      </w:r>
      <w:r>
        <w:rPr>
          <w:rFonts w:ascii="宋体" w:hAnsi="宋体"/>
          <w:color w:val="auto"/>
          <w:szCs w:val="21"/>
          <w:u w:val="single"/>
        </w:rPr>
        <w:t>竣工验收合格后付合同价的40%，审计后满一年付至审定价的70%，审计后满二年付清</w:t>
      </w:r>
      <w:r>
        <w:rPr>
          <w:rFonts w:hint="eastAsia" w:ascii="宋体" w:hAnsi="宋体"/>
          <w:color w:val="auto"/>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color w:val="auto"/>
          <w:szCs w:val="21"/>
          <w:u w:val="single"/>
        </w:rPr>
      </w:pPr>
      <w:r>
        <w:rPr>
          <w:rFonts w:hint="eastAsia" w:ascii="宋体" w:hAnsi="宋体" w:cs="宋体"/>
          <w:color w:val="auto"/>
          <w:szCs w:val="21"/>
          <w:u w:val="single"/>
          <w:lang w:bidi="ar"/>
        </w:rPr>
        <w:t>（2）</w:t>
      </w:r>
      <w:r>
        <w:rPr>
          <w:rFonts w:hint="eastAsia" w:ascii="宋体" w:hAnsi="宋体"/>
          <w:color w:val="auto"/>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color w:val="auto"/>
          <w:szCs w:val="21"/>
          <w:u w:val="single"/>
        </w:rPr>
      </w:pPr>
      <w:r>
        <w:rPr>
          <w:rFonts w:hint="eastAsia" w:ascii="宋体" w:hAnsi="宋体" w:cs="宋体"/>
          <w:color w:val="auto"/>
          <w:szCs w:val="21"/>
          <w:u w:val="single"/>
          <w:lang w:bidi="ar"/>
        </w:rPr>
        <w:t>（3）工程审计由建设方委托，审计模式由委托方确定。</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13.</w:t>
      </w:r>
      <w:r>
        <w:rPr>
          <w:rFonts w:hint="eastAsia" w:ascii="宋体" w:hAnsi="宋体" w:eastAsia="宋体"/>
          <w:b w:val="0"/>
          <w:color w:val="auto"/>
          <w:sz w:val="24"/>
        </w:rPr>
        <w:t xml:space="preserve"> </w:t>
      </w:r>
      <w:r>
        <w:rPr>
          <w:rFonts w:ascii="宋体" w:hAnsi="宋体" w:eastAsia="宋体"/>
          <w:b w:val="0"/>
          <w:color w:val="auto"/>
          <w:sz w:val="24"/>
        </w:rPr>
        <w:t>验收和工程试车</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13.1 分部分项工程验收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13.1.2监理人不能按时进行验收时，应提前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小时提交书面延期要求。</w:t>
      </w:r>
    </w:p>
    <w:p>
      <w:pPr>
        <w:adjustRightInd w:val="0"/>
        <w:snapToGrid w:val="0"/>
        <w:spacing w:line="360" w:lineRule="auto"/>
        <w:ind w:firstLine="480" w:firstLineChars="200"/>
        <w:jc w:val="left"/>
        <w:rPr>
          <w:rFonts w:ascii="宋体" w:hAnsi="宋体"/>
          <w:b/>
          <w:color w:val="auto"/>
          <w:sz w:val="24"/>
        </w:rPr>
      </w:pPr>
      <w:r>
        <w:rPr>
          <w:rFonts w:ascii="宋体" w:hAnsi="宋体"/>
          <w:color w:val="auto"/>
          <w:sz w:val="24"/>
        </w:rPr>
        <w:t>关于延期最长不得超过：</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小时。</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13.2 竣工验收</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13.2.2竣工验收程序</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关于竣工验收程序的约定：</w:t>
      </w:r>
      <w:r>
        <w:rPr>
          <w:rFonts w:hint="eastAsia" w:ascii="宋体" w:hAnsi="宋体"/>
          <w:color w:val="auto"/>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发包人不按照本项约定组织竣工验收、颁发工程接收证书的违约金的计算方法：</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13.2.5移交、接收全部与部分工程</w:t>
      </w:r>
    </w:p>
    <w:p>
      <w:pPr>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承包人向发包人移交工程的期限：</w:t>
      </w:r>
      <w:r>
        <w:rPr>
          <w:rFonts w:hint="eastAsia" w:ascii="宋体" w:hAnsi="宋体" w:cs="宋体"/>
          <w:color w:val="auto"/>
          <w:sz w:val="24"/>
          <w:u w:val="single"/>
        </w:rPr>
        <w:t>根据发包人要求执行</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kern w:val="0"/>
          <w:sz w:val="24"/>
        </w:rPr>
        <w:t>发包人未按本合同约定接收全部或部分工程的，违约金的计算方法为：</w:t>
      </w:r>
      <w:r>
        <w:rPr>
          <w:rFonts w:hint="eastAsia" w:ascii="宋体" w:hAnsi="宋体" w:cs="宋体"/>
          <w:color w:val="auto"/>
          <w:sz w:val="24"/>
          <w:u w:val="single"/>
        </w:rPr>
        <w:t>根据发包人要求执行</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承包人未按时移交工程的，违约金的计算方法为：</w:t>
      </w:r>
      <w:r>
        <w:rPr>
          <w:rFonts w:hint="eastAsia" w:ascii="宋体" w:hAnsi="宋体"/>
          <w:color w:val="auto"/>
          <w:sz w:val="24"/>
          <w:u w:val="single"/>
        </w:rPr>
        <w:t>/</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13.3 工程试车</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13.3.1 试车程序</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工程试车内容：</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（1）单机无负荷试车费用由</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kern w:val="0"/>
          <w:sz w:val="24"/>
        </w:rPr>
        <w:t>承担；</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（2）无负荷联动试车费用由</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kern w:val="0"/>
          <w:sz w:val="24"/>
        </w:rPr>
        <w:t>承担。</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13.3.3 投料试车</w:t>
      </w:r>
    </w:p>
    <w:p>
      <w:pPr>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关于投料试车相关事项的约定：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13.6 竣工退场</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13.6.1 竣工退场</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承包人完成竣工退场的期限</w:t>
      </w:r>
      <w:r>
        <w:rPr>
          <w:rFonts w:hint="eastAsia" w:ascii="宋体" w:hAnsi="宋体"/>
          <w:color w:val="auto"/>
          <w:kern w:val="0"/>
          <w:sz w:val="24"/>
        </w:rPr>
        <w:t>/</w:t>
      </w:r>
      <w:r>
        <w:rPr>
          <w:rFonts w:hint="eastAsia"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14. 竣工结算</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14.1 竣工</w:t>
      </w:r>
      <w:r>
        <w:rPr>
          <w:rFonts w:hint="eastAsia" w:ascii="宋体" w:hAnsi="宋体"/>
          <w:color w:val="auto"/>
          <w:sz w:val="24"/>
        </w:rPr>
        <w:t>结算</w:t>
      </w:r>
      <w:r>
        <w:rPr>
          <w:rFonts w:ascii="宋体" w:hAnsi="宋体"/>
          <w:color w:val="auto"/>
          <w:sz w:val="24"/>
        </w:rPr>
        <w:t>申请</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承包人提交竣工</w:t>
      </w:r>
      <w:r>
        <w:rPr>
          <w:rFonts w:hint="eastAsia" w:ascii="宋体" w:hAnsi="宋体"/>
          <w:color w:val="auto"/>
          <w:sz w:val="24"/>
        </w:rPr>
        <w:t>结算</w:t>
      </w:r>
      <w:r>
        <w:rPr>
          <w:rFonts w:ascii="宋体" w:hAnsi="宋体"/>
          <w:color w:val="auto"/>
          <w:sz w:val="24"/>
        </w:rPr>
        <w:t>申请单的期限：</w:t>
      </w:r>
      <w:r>
        <w:rPr>
          <w:rFonts w:hint="eastAsia" w:ascii="宋体" w:hAnsi="宋体"/>
          <w:color w:val="auto"/>
          <w:sz w:val="24"/>
          <w:u w:val="single"/>
        </w:rPr>
        <w:t>/</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竣工</w:t>
      </w:r>
      <w:r>
        <w:rPr>
          <w:rFonts w:hint="eastAsia" w:ascii="宋体" w:hAnsi="宋体"/>
          <w:color w:val="auto"/>
          <w:sz w:val="24"/>
        </w:rPr>
        <w:t>结算</w:t>
      </w:r>
      <w:r>
        <w:rPr>
          <w:rFonts w:ascii="宋体" w:hAnsi="宋体"/>
          <w:color w:val="auto"/>
          <w:sz w:val="24"/>
        </w:rPr>
        <w:t>申请单应包括的内容：</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14.2 竣工结算审核</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发包人</w:t>
      </w:r>
      <w:r>
        <w:rPr>
          <w:rFonts w:hint="eastAsia" w:ascii="宋体" w:hAnsi="宋体"/>
          <w:color w:val="auto"/>
          <w:sz w:val="24"/>
        </w:rPr>
        <w:t>审批</w:t>
      </w:r>
      <w:r>
        <w:rPr>
          <w:rFonts w:ascii="宋体" w:hAnsi="宋体"/>
          <w:color w:val="auto"/>
          <w:sz w:val="24"/>
        </w:rPr>
        <w:t>竣工付款申请单的期限：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发包人完成竣工付款的期限：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关于竣工付款证书异议部分复核的方式和程序：</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14.4 最终结清</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14.4.1 最终结清申请单</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承包人提交最终结清申请单的份数：</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承包人提交最终结算申请单的期限：</w:t>
      </w:r>
      <w:r>
        <w:rPr>
          <w:rFonts w:hint="eastAsia" w:ascii="宋体" w:hAnsi="宋体"/>
          <w:color w:val="auto"/>
          <w:sz w:val="24"/>
          <w:u w:val="single"/>
        </w:rPr>
        <w:t>/</w:t>
      </w:r>
      <w:r>
        <w:rPr>
          <w:rFonts w:ascii="宋体" w:hAnsi="宋体"/>
          <w:color w:val="auto"/>
          <w:sz w:val="24"/>
        </w:rPr>
        <w:t xml:space="preserve">。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14.4.2 最终结清证书和支付</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（1）发包人完成最终结清申请单的</w:t>
      </w:r>
      <w:r>
        <w:rPr>
          <w:rFonts w:hint="eastAsia" w:ascii="宋体" w:hAnsi="宋体"/>
          <w:color w:val="auto"/>
          <w:sz w:val="24"/>
        </w:rPr>
        <w:t>审批</w:t>
      </w:r>
      <w:r>
        <w:rPr>
          <w:rFonts w:ascii="宋体" w:hAnsi="宋体"/>
          <w:color w:val="auto"/>
          <w:sz w:val="24"/>
        </w:rPr>
        <w:t>并颁发最终结清证书的期限：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（2）发包人完成支付的期限：</w:t>
      </w:r>
      <w:r>
        <w:rPr>
          <w:rFonts w:hint="eastAsia" w:ascii="宋体" w:hAnsi="宋体"/>
          <w:color w:val="auto"/>
          <w:sz w:val="24"/>
          <w:u w:val="single"/>
        </w:rPr>
        <w:t>/</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15.</w:t>
      </w:r>
      <w:r>
        <w:rPr>
          <w:rFonts w:ascii="宋体" w:hAnsi="宋体" w:eastAsia="宋体"/>
          <w:b w:val="0"/>
          <w:color w:val="auto"/>
          <w:sz w:val="24"/>
        </w:rPr>
        <w:t xml:space="preserve"> 缺陷责任期与保修</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15.2缺陷责任期</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缺陷责任期的具体期限：</w:t>
      </w:r>
      <w:r>
        <w:rPr>
          <w:rFonts w:hint="eastAsia" w:ascii="宋体" w:hAnsi="宋体"/>
          <w:color w:val="auto"/>
          <w:sz w:val="24"/>
          <w:u w:val="single"/>
        </w:rPr>
        <w:t>两年</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15.3 质量保证金</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关于是否扣留质量保证金的约定：</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color w:val="auto"/>
          <w:sz w:val="24"/>
        </w:rPr>
      </w:pPr>
    </w:p>
    <w:p>
      <w:pPr>
        <w:adjustRightInd w:val="0"/>
        <w:snapToGrid w:val="0"/>
        <w:spacing w:line="360" w:lineRule="auto"/>
        <w:ind w:firstLine="480" w:firstLineChars="200"/>
        <w:jc w:val="left"/>
        <w:outlineLvl w:val="0"/>
        <w:rPr>
          <w:rFonts w:ascii="宋体" w:hAnsi="宋体"/>
          <w:color w:val="auto"/>
          <w:sz w:val="24"/>
        </w:rPr>
      </w:pPr>
      <w:r>
        <w:rPr>
          <w:rFonts w:ascii="宋体" w:hAnsi="宋体"/>
          <w:color w:val="auto"/>
          <w:sz w:val="24"/>
        </w:rPr>
        <w:t xml:space="preserve">15.3.1 </w:t>
      </w:r>
      <w:r>
        <w:rPr>
          <w:rFonts w:hint="eastAsia" w:ascii="宋体" w:hAnsi="宋体"/>
          <w:color w:val="auto"/>
          <w:sz w:val="24"/>
        </w:rPr>
        <w:t>承包人提供</w:t>
      </w:r>
      <w:r>
        <w:rPr>
          <w:rFonts w:ascii="宋体" w:hAnsi="宋体"/>
          <w:color w:val="auto"/>
          <w:sz w:val="24"/>
        </w:rPr>
        <w:t>质量保证金的</w:t>
      </w:r>
      <w:r>
        <w:rPr>
          <w:rFonts w:hint="eastAsia" w:ascii="宋体" w:hAnsi="宋体"/>
          <w:color w:val="auto"/>
          <w:sz w:val="24"/>
        </w:rPr>
        <w:t>方</w:t>
      </w:r>
      <w:r>
        <w:rPr>
          <w:rFonts w:ascii="宋体" w:hAnsi="宋体"/>
          <w:color w:val="auto"/>
          <w:sz w:val="24"/>
        </w:rPr>
        <w:t>式</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质量保证金采用以下第</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种方式：</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（1）质量保证金保函，保证金额为：</w:t>
      </w:r>
      <w:r>
        <w:rPr>
          <w:rFonts w:hint="eastAsia" w:ascii="宋体" w:hAnsi="宋体"/>
          <w:color w:val="auto"/>
          <w:sz w:val="24"/>
          <w:u w:val="single"/>
        </w:rPr>
        <w:t xml:space="preserve">∥ </w:t>
      </w:r>
      <w:r>
        <w:rPr>
          <w:rFonts w:ascii="宋体" w:hAnsi="宋体"/>
          <w:color w:val="auto"/>
          <w:kern w:val="0"/>
          <w:sz w:val="24"/>
        </w:rPr>
        <w:t xml:space="preserve">； </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w:t>
      </w:r>
      <w:r>
        <w:rPr>
          <w:rFonts w:ascii="宋体" w:hAnsi="宋体"/>
          <w:color w:val="auto"/>
          <w:kern w:val="0"/>
          <w:sz w:val="24"/>
          <w:u w:val="single"/>
        </w:rPr>
        <w:t xml:space="preserve"> </w:t>
      </w:r>
      <w:r>
        <w:rPr>
          <w:rFonts w:hint="eastAsia" w:ascii="宋体" w:hAnsi="宋体"/>
          <w:color w:val="auto"/>
          <w:sz w:val="24"/>
          <w:u w:val="single"/>
        </w:rPr>
        <w:t xml:space="preserve">∥ </w:t>
      </w:r>
      <w:r>
        <w:rPr>
          <w:rFonts w:hint="eastAsia" w:ascii="宋体" w:hAnsi="宋体"/>
          <w:color w:val="auto"/>
          <w:kern w:val="0"/>
          <w:sz w:val="24"/>
          <w:u w:val="single"/>
        </w:rPr>
        <w:t xml:space="preserve"> </w:t>
      </w:r>
      <w:r>
        <w:rPr>
          <w:rFonts w:ascii="宋体" w:hAnsi="宋体"/>
          <w:color w:val="auto"/>
          <w:kern w:val="0"/>
          <w:sz w:val="24"/>
        </w:rPr>
        <w:t>工程款；</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（3）其他</w:t>
      </w:r>
      <w:r>
        <w:rPr>
          <w:rFonts w:hint="eastAsia" w:ascii="宋体" w:hAnsi="宋体"/>
          <w:color w:val="auto"/>
          <w:kern w:val="0"/>
          <w:sz w:val="24"/>
        </w:rPr>
        <w:t>方</w:t>
      </w:r>
      <w:r>
        <w:rPr>
          <w:rFonts w:ascii="宋体" w:hAnsi="宋体"/>
          <w:color w:val="auto"/>
          <w:kern w:val="0"/>
          <w:sz w:val="24"/>
        </w:rPr>
        <w:t>式:</w:t>
      </w:r>
      <w:r>
        <w:rPr>
          <w:rFonts w:hint="eastAsia" w:ascii="宋体" w:hAnsi="宋体"/>
          <w:color w:val="auto"/>
          <w:sz w:val="24"/>
          <w:u w:val="single"/>
        </w:rPr>
        <w:t xml:space="preserve"> ∥ </w:t>
      </w:r>
      <w:r>
        <w:rPr>
          <w:rFonts w:ascii="宋体" w:hAnsi="宋体"/>
          <w:color w:val="auto"/>
          <w:sz w:val="24"/>
        </w:rPr>
        <w:t>。</w:t>
      </w:r>
    </w:p>
    <w:p>
      <w:pPr>
        <w:adjustRightInd w:val="0"/>
        <w:snapToGrid w:val="0"/>
        <w:spacing w:line="360" w:lineRule="auto"/>
        <w:ind w:firstLine="480" w:firstLineChars="200"/>
        <w:jc w:val="left"/>
        <w:outlineLvl w:val="0"/>
        <w:rPr>
          <w:rFonts w:ascii="宋体" w:hAnsi="宋体"/>
          <w:color w:val="auto"/>
          <w:sz w:val="24"/>
        </w:rPr>
      </w:pPr>
      <w:r>
        <w:rPr>
          <w:rFonts w:ascii="宋体" w:hAnsi="宋体"/>
          <w:color w:val="auto"/>
          <w:sz w:val="24"/>
        </w:rPr>
        <w:t xml:space="preserve">15.3.2 质量保证金的扣留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质量保证金的扣留采取以下第</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种方式：</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color w:val="auto"/>
          <w:kern w:val="0"/>
          <w:sz w:val="24"/>
        </w:rPr>
      </w:pPr>
      <w:r>
        <w:rPr>
          <w:rFonts w:ascii="宋体" w:hAnsi="宋体"/>
          <w:color w:val="auto"/>
          <w:kern w:val="0"/>
          <w:sz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（3）其他扣留方式:</w:t>
      </w:r>
      <w:r>
        <w:rPr>
          <w:rFonts w:hint="eastAsia" w:ascii="宋体" w:hAnsi="宋体"/>
          <w:color w:val="auto"/>
          <w:sz w:val="24"/>
          <w:u w:val="single"/>
        </w:rPr>
        <w:t xml:space="preserve"> ∥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关于质量保证金的补充约定：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15.4保修</w:t>
      </w:r>
    </w:p>
    <w:p>
      <w:pPr>
        <w:adjustRightInd w:val="0"/>
        <w:snapToGrid w:val="0"/>
        <w:spacing w:line="360" w:lineRule="auto"/>
        <w:ind w:firstLine="468" w:firstLineChars="195"/>
        <w:jc w:val="left"/>
        <w:rPr>
          <w:rFonts w:ascii="宋体" w:hAnsi="宋体"/>
          <w:color w:val="auto"/>
          <w:sz w:val="24"/>
        </w:rPr>
      </w:pPr>
      <w:r>
        <w:rPr>
          <w:rFonts w:ascii="宋体" w:hAnsi="宋体"/>
          <w:color w:val="auto"/>
          <w:sz w:val="24"/>
        </w:rPr>
        <w:t>15.4.1 保修责任</w:t>
      </w:r>
    </w:p>
    <w:p>
      <w:pPr>
        <w:adjustRightInd w:val="0"/>
        <w:snapToGrid w:val="0"/>
        <w:spacing w:line="360" w:lineRule="auto"/>
        <w:ind w:firstLine="468" w:firstLineChars="195"/>
        <w:jc w:val="left"/>
        <w:rPr>
          <w:rFonts w:ascii="宋体" w:hAnsi="宋体"/>
          <w:color w:val="auto"/>
          <w:kern w:val="0"/>
          <w:sz w:val="24"/>
        </w:rPr>
      </w:pPr>
      <w:r>
        <w:rPr>
          <w:rFonts w:ascii="宋体" w:hAnsi="宋体"/>
          <w:color w:val="auto"/>
          <w:sz w:val="24"/>
        </w:rPr>
        <w:t>工程保修期为：</w:t>
      </w:r>
      <w:r>
        <w:rPr>
          <w:rFonts w:hint="eastAsia" w:ascii="宋体" w:hAnsi="宋体"/>
          <w:color w:val="auto"/>
          <w:kern w:val="0"/>
          <w:sz w:val="24"/>
          <w:u w:val="single"/>
        </w:rPr>
        <w:t xml:space="preserve">        </w:t>
      </w:r>
    </w:p>
    <w:p>
      <w:pPr>
        <w:adjustRightInd w:val="0"/>
        <w:snapToGrid w:val="0"/>
        <w:spacing w:line="360" w:lineRule="auto"/>
        <w:ind w:firstLine="468" w:firstLineChars="195"/>
        <w:jc w:val="left"/>
        <w:rPr>
          <w:rFonts w:ascii="宋体" w:hAnsi="宋体"/>
          <w:color w:val="auto"/>
          <w:sz w:val="24"/>
        </w:rPr>
      </w:pPr>
      <w:r>
        <w:rPr>
          <w:rFonts w:ascii="宋体" w:hAnsi="宋体"/>
          <w:color w:val="auto"/>
          <w:sz w:val="24"/>
        </w:rPr>
        <w:t>15.4.3 修复通知</w:t>
      </w:r>
    </w:p>
    <w:p>
      <w:pPr>
        <w:adjustRightInd w:val="0"/>
        <w:snapToGrid w:val="0"/>
        <w:spacing w:line="360" w:lineRule="auto"/>
        <w:ind w:firstLine="468" w:firstLineChars="195"/>
        <w:jc w:val="left"/>
        <w:rPr>
          <w:rFonts w:ascii="宋体" w:hAnsi="宋体"/>
          <w:color w:val="auto"/>
          <w:kern w:val="0"/>
          <w:sz w:val="24"/>
          <w:u w:val="single"/>
        </w:rPr>
      </w:pPr>
      <w:r>
        <w:rPr>
          <w:rFonts w:ascii="宋体" w:hAnsi="宋体"/>
          <w:color w:val="auto"/>
          <w:kern w:val="0"/>
          <w:sz w:val="24"/>
        </w:rPr>
        <w:t>承包人收到保修通知并到达工程现场的合理时间：</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16. 违约</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16.1 发包人违约</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16.1.1发包人违约的情形</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发包人违约的其他情形：</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left="1200" w:hanging="1200" w:hangingChars="500"/>
        <w:jc w:val="left"/>
        <w:rPr>
          <w:rFonts w:ascii="宋体" w:hAnsi="宋体"/>
          <w:color w:val="auto"/>
          <w:kern w:val="0"/>
          <w:sz w:val="24"/>
        </w:rPr>
      </w:pPr>
      <w:r>
        <w:rPr>
          <w:rFonts w:ascii="宋体" w:hAnsi="宋体"/>
          <w:color w:val="auto"/>
          <w:kern w:val="0"/>
          <w:sz w:val="24"/>
        </w:rPr>
        <w:t xml:space="preserve">    16.1.2 发包人违约的责任</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发包人违约责任的承担方式和计算方法：</w:t>
      </w:r>
    </w:p>
    <w:p>
      <w:pPr>
        <w:adjustRightInd w:val="0"/>
        <w:snapToGrid w:val="0"/>
        <w:spacing w:line="360" w:lineRule="auto"/>
        <w:ind w:firstLine="480" w:firstLineChars="200"/>
        <w:jc w:val="left"/>
        <w:rPr>
          <w:rFonts w:ascii="宋体" w:hAnsi="宋体"/>
          <w:color w:val="auto"/>
          <w:kern w:val="0"/>
          <w:sz w:val="24"/>
          <w:u w:val="single"/>
        </w:rPr>
      </w:pPr>
      <w:r>
        <w:rPr>
          <w:rFonts w:ascii="宋体" w:hAnsi="宋体"/>
          <w:color w:val="auto"/>
          <w:kern w:val="0"/>
          <w:sz w:val="24"/>
        </w:rPr>
        <w:t>（1）因发包人原因未能在计划开工日期前7天内下达开工通知的违约责任：</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（2）因发包人原因未能按合同约定支付合同价款的违约责任：</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（3）发包人违反第10.1款</w:t>
      </w:r>
      <w:r>
        <w:rPr>
          <w:rFonts w:hint="eastAsia" w:ascii="宋体" w:hAnsi="宋体"/>
          <w:color w:val="auto"/>
          <w:kern w:val="0"/>
          <w:sz w:val="24"/>
        </w:rPr>
        <w:t>〔</w:t>
      </w:r>
      <w:r>
        <w:rPr>
          <w:rFonts w:ascii="宋体" w:hAnsi="宋体"/>
          <w:color w:val="auto"/>
          <w:kern w:val="0"/>
          <w:sz w:val="24"/>
        </w:rPr>
        <w:t>变更的范围</w:t>
      </w:r>
      <w:r>
        <w:rPr>
          <w:rFonts w:hint="eastAsia" w:ascii="宋体" w:hAnsi="宋体"/>
          <w:color w:val="auto"/>
          <w:kern w:val="0"/>
          <w:sz w:val="24"/>
        </w:rPr>
        <w:t>〕</w:t>
      </w:r>
      <w:r>
        <w:rPr>
          <w:rFonts w:ascii="宋体" w:hAnsi="宋体"/>
          <w:color w:val="auto"/>
          <w:kern w:val="0"/>
          <w:sz w:val="24"/>
        </w:rPr>
        <w:t>第（2）项约定，自行实施被取消的工作或转由他人实施的违约责任：</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（5）因发包人违反合同约定造成暂停施工的违约责任：</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（6）发包人无正当理由没有在约定期限内发出复工指示，导致承包人无法复工的违约责任：</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（7）</w:t>
      </w:r>
      <w:r>
        <w:rPr>
          <w:rFonts w:hint="eastAsia" w:ascii="宋体" w:hAnsi="宋体"/>
          <w:color w:val="auto"/>
          <w:kern w:val="0"/>
          <w:sz w:val="24"/>
        </w:rPr>
        <w:t>其他：</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16.1.3 因发包人违约解除合同</w:t>
      </w:r>
    </w:p>
    <w:p>
      <w:pPr>
        <w:autoSpaceDE w:val="0"/>
        <w:autoSpaceDN w:val="0"/>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承包人按16.1.1项</w:t>
      </w:r>
      <w:r>
        <w:rPr>
          <w:rFonts w:hint="eastAsia" w:ascii="宋体" w:hAnsi="宋体"/>
          <w:color w:val="auto"/>
          <w:kern w:val="0"/>
          <w:sz w:val="24"/>
        </w:rPr>
        <w:t>〔</w:t>
      </w:r>
      <w:r>
        <w:rPr>
          <w:rFonts w:ascii="宋体" w:hAnsi="宋体"/>
          <w:color w:val="auto"/>
          <w:kern w:val="0"/>
          <w:sz w:val="24"/>
        </w:rPr>
        <w:t>发包人违约的情形</w:t>
      </w:r>
      <w:r>
        <w:rPr>
          <w:rFonts w:hint="eastAsia" w:ascii="宋体" w:hAnsi="宋体"/>
          <w:color w:val="auto"/>
          <w:kern w:val="0"/>
          <w:sz w:val="24"/>
        </w:rPr>
        <w:t>〕</w:t>
      </w:r>
      <w:r>
        <w:rPr>
          <w:rFonts w:ascii="宋体" w:hAnsi="宋体"/>
          <w:color w:val="auto"/>
          <w:kern w:val="0"/>
          <w:sz w:val="24"/>
        </w:rPr>
        <w:t>约定暂停施工满</w:t>
      </w:r>
      <w:r>
        <w:rPr>
          <w:rFonts w:ascii="宋体" w:hAnsi="宋体"/>
          <w:color w:val="auto"/>
          <w:kern w:val="0"/>
          <w:sz w:val="24"/>
          <w:u w:val="single"/>
        </w:rPr>
        <w:t xml:space="preserve"> </w:t>
      </w:r>
      <w:r>
        <w:rPr>
          <w:rFonts w:hint="eastAsia" w:ascii="宋体" w:hAnsi="宋体"/>
          <w:color w:val="auto"/>
          <w:sz w:val="24"/>
          <w:u w:val="single"/>
        </w:rPr>
        <w:t>∥</w:t>
      </w:r>
      <w:r>
        <w:rPr>
          <w:rFonts w:ascii="宋体" w:hAnsi="宋体"/>
          <w:color w:val="auto"/>
          <w:kern w:val="0"/>
          <w:sz w:val="24"/>
          <w:u w:val="single"/>
        </w:rPr>
        <w:t xml:space="preserve"> </w:t>
      </w:r>
      <w:r>
        <w:rPr>
          <w:rFonts w:ascii="宋体" w:hAnsi="宋体"/>
          <w:color w:val="auto"/>
          <w:kern w:val="0"/>
          <w:sz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16.2 承包人违约</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16.2.1 承包人违约的情形</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承包人违约的其他情形：</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16.2.2承包人违约的责任</w:t>
      </w:r>
    </w:p>
    <w:p>
      <w:pPr>
        <w:adjustRightInd w:val="0"/>
        <w:snapToGrid w:val="0"/>
        <w:spacing w:line="360" w:lineRule="auto"/>
        <w:ind w:firstLine="480" w:firstLineChars="200"/>
        <w:jc w:val="left"/>
        <w:rPr>
          <w:rFonts w:ascii="宋体" w:hAnsi="宋体"/>
          <w:color w:val="auto"/>
          <w:kern w:val="0"/>
          <w:sz w:val="24"/>
          <w:u w:val="single"/>
        </w:rPr>
      </w:pPr>
      <w:r>
        <w:rPr>
          <w:rFonts w:ascii="宋体" w:hAnsi="宋体"/>
          <w:color w:val="auto"/>
          <w:kern w:val="0"/>
          <w:sz w:val="24"/>
        </w:rPr>
        <w:t>承包人违约责任的承担方式和计算方法：</w:t>
      </w:r>
      <w:r>
        <w:rPr>
          <w:rFonts w:hint="eastAsia" w:ascii="宋体" w:hAnsi="宋体"/>
          <w:color w:val="auto"/>
          <w:sz w:val="24"/>
          <w:u w:val="single"/>
        </w:rPr>
        <w:t xml:space="preserve">∥ </w:t>
      </w:r>
      <w:r>
        <w:rPr>
          <w:rFonts w:ascii="宋体" w:hAnsi="宋体"/>
          <w:color w:val="auto"/>
          <w:sz w:val="24"/>
        </w:rPr>
        <w:t xml:space="preserve">。    </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16.2.3 因承包人违约解除合同</w:t>
      </w:r>
    </w:p>
    <w:p>
      <w:pPr>
        <w:adjustRightInd w:val="0"/>
        <w:snapToGrid w:val="0"/>
        <w:spacing w:before="120" w:after="120" w:line="360" w:lineRule="auto"/>
        <w:ind w:firstLine="480" w:firstLineChars="200"/>
        <w:rPr>
          <w:rFonts w:ascii="宋体" w:hAnsi="宋体"/>
          <w:color w:val="auto"/>
          <w:kern w:val="0"/>
          <w:sz w:val="24"/>
        </w:rPr>
      </w:pPr>
      <w:r>
        <w:rPr>
          <w:rFonts w:ascii="宋体" w:hAnsi="宋体"/>
          <w:color w:val="auto"/>
          <w:kern w:val="0"/>
          <w:sz w:val="24"/>
        </w:rPr>
        <w:t>关于承包人违约解除合同的特别约定：</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before="120" w:after="120" w:line="360" w:lineRule="auto"/>
        <w:ind w:firstLine="480" w:firstLineChars="200"/>
        <w:rPr>
          <w:rFonts w:ascii="宋体" w:hAnsi="宋体"/>
          <w:color w:val="auto"/>
          <w:kern w:val="0"/>
          <w:sz w:val="24"/>
        </w:rPr>
      </w:pPr>
      <w:r>
        <w:rPr>
          <w:rFonts w:ascii="宋体" w:hAnsi="宋体"/>
          <w:color w:val="auto"/>
          <w:kern w:val="0"/>
          <w:sz w:val="24"/>
        </w:rPr>
        <w:t>发包人</w:t>
      </w:r>
      <w:r>
        <w:rPr>
          <w:rFonts w:hint="eastAsia" w:ascii="宋体" w:hAnsi="宋体"/>
          <w:color w:val="auto"/>
          <w:kern w:val="0"/>
          <w:sz w:val="24"/>
        </w:rPr>
        <w:t>继续</w:t>
      </w:r>
      <w:r>
        <w:rPr>
          <w:rFonts w:ascii="宋体" w:hAnsi="宋体"/>
          <w:color w:val="auto"/>
          <w:kern w:val="0"/>
          <w:sz w:val="24"/>
        </w:rPr>
        <w:t>使用承包人在施工现场的材料、设备、临时工程、承包人文件和由承包人或以其名义编制的其他文件</w:t>
      </w:r>
      <w:r>
        <w:rPr>
          <w:rFonts w:hint="eastAsia" w:ascii="宋体" w:hAnsi="宋体"/>
          <w:color w:val="auto"/>
          <w:kern w:val="0"/>
          <w:sz w:val="24"/>
        </w:rPr>
        <w:t>的费用承担方式</w:t>
      </w:r>
      <w:r>
        <w:rPr>
          <w:rFonts w:ascii="宋体" w:hAnsi="宋体"/>
          <w:color w:val="auto"/>
          <w:kern w:val="0"/>
          <w:sz w:val="24"/>
        </w:rPr>
        <w:t>：</w:t>
      </w:r>
      <w:r>
        <w:rPr>
          <w:rFonts w:hint="eastAsia"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 xml:space="preserve">17. 不可抗力 </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17.1 不可抗力的确认</w:t>
      </w:r>
    </w:p>
    <w:p>
      <w:pPr>
        <w:adjustRightInd w:val="0"/>
        <w:snapToGrid w:val="0"/>
        <w:spacing w:line="360" w:lineRule="auto"/>
        <w:ind w:firstLine="480" w:firstLineChars="200"/>
        <w:jc w:val="left"/>
        <w:rPr>
          <w:rFonts w:ascii="宋体" w:hAnsi="宋体"/>
          <w:color w:val="auto"/>
          <w:kern w:val="0"/>
          <w:sz w:val="24"/>
          <w:u w:val="single"/>
        </w:rPr>
      </w:pPr>
      <w:r>
        <w:rPr>
          <w:rFonts w:ascii="宋体" w:hAnsi="宋体"/>
          <w:color w:val="auto"/>
          <w:sz w:val="24"/>
        </w:rPr>
        <w:t xml:space="preserve">除通用合同条款约定的不可抗力事件之外，视为不可抗力的其他情形： </w:t>
      </w:r>
      <w:r>
        <w:rPr>
          <w:rFonts w:hint="eastAsia" w:ascii="宋体" w:hAnsi="宋体"/>
          <w:color w:val="auto"/>
          <w:sz w:val="24"/>
          <w:u w:val="single"/>
        </w:rPr>
        <w:t xml:space="preserve">∥ </w:t>
      </w:r>
      <w:r>
        <w:rPr>
          <w:rFonts w:ascii="宋体" w:hAnsi="宋体"/>
          <w:color w:val="auto"/>
          <w:kern w:val="0"/>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17.4 因不可抗力解除合同</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合同解除后，发包人应在商定或确定发包人应支付款项后</w:t>
      </w:r>
      <w:r>
        <w:rPr>
          <w:rFonts w:hint="eastAsia" w:ascii="宋体" w:hAnsi="宋体"/>
          <w:color w:val="auto"/>
          <w:sz w:val="24"/>
          <w:u w:val="single"/>
        </w:rPr>
        <w:t xml:space="preserve">∥ </w:t>
      </w:r>
      <w:r>
        <w:rPr>
          <w:rFonts w:ascii="宋体" w:hAnsi="宋体"/>
          <w:color w:val="auto"/>
          <w:sz w:val="24"/>
        </w:rPr>
        <w:t>天内完成款项的支付。</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18. 保险</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18.1 工程保险</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关于工程保险的特别约定：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18.3 其他保险</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sz w:val="24"/>
        </w:rPr>
        <w:t>关于其他保险的约定：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kern w:val="0"/>
          <w:sz w:val="24"/>
        </w:rPr>
      </w:pPr>
      <w:r>
        <w:rPr>
          <w:rFonts w:ascii="宋体" w:hAnsi="宋体"/>
          <w:color w:val="auto"/>
          <w:sz w:val="24"/>
        </w:rPr>
        <w:t>承包人是否应为其施工设备等办理财产保险：</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18.7 通知义务</w:t>
      </w:r>
    </w:p>
    <w:p>
      <w:pPr>
        <w:adjustRightInd w:val="0"/>
        <w:snapToGrid w:val="0"/>
        <w:spacing w:line="360" w:lineRule="auto"/>
        <w:ind w:firstLine="480" w:firstLineChars="200"/>
        <w:jc w:val="left"/>
        <w:rPr>
          <w:rFonts w:ascii="宋体" w:hAnsi="宋体"/>
          <w:color w:val="auto"/>
          <w:sz w:val="24"/>
        </w:rPr>
      </w:pPr>
      <w:r>
        <w:rPr>
          <w:rFonts w:ascii="宋体" w:hAnsi="宋体"/>
          <w:color w:val="auto"/>
          <w:kern w:val="0"/>
          <w:sz w:val="24"/>
        </w:rPr>
        <w:t>关于变更保险合同时的通知义务的约定：</w:t>
      </w:r>
      <w:r>
        <w:rPr>
          <w:rFonts w:hint="eastAsia" w:ascii="宋体" w:hAnsi="宋体"/>
          <w:color w:val="auto"/>
          <w:sz w:val="24"/>
          <w:u w:val="single"/>
        </w:rPr>
        <w:t xml:space="preserve">∥ </w:t>
      </w:r>
      <w:r>
        <w:rPr>
          <w:rFonts w:ascii="宋体" w:hAnsi="宋体"/>
          <w:color w:val="auto"/>
          <w:sz w:val="24"/>
        </w:rPr>
        <w:t>。</w:t>
      </w:r>
    </w:p>
    <w:p>
      <w:pPr>
        <w:pStyle w:val="6"/>
        <w:numPr>
          <w:ilvl w:val="3"/>
          <w:numId w:val="5"/>
        </w:numPr>
        <w:adjustRightInd w:val="0"/>
        <w:snapToGrid w:val="0"/>
        <w:spacing w:before="120" w:after="120" w:line="360" w:lineRule="auto"/>
        <w:textAlignment w:val="baseline"/>
        <w:rPr>
          <w:rFonts w:ascii="宋体" w:hAnsi="宋体" w:eastAsia="宋体"/>
          <w:b w:val="0"/>
          <w:color w:val="auto"/>
          <w:sz w:val="24"/>
        </w:rPr>
      </w:pPr>
      <w:r>
        <w:rPr>
          <w:rFonts w:ascii="宋体" w:hAnsi="宋体" w:eastAsia="宋体"/>
          <w:b w:val="0"/>
          <w:color w:val="auto"/>
          <w:sz w:val="24"/>
        </w:rPr>
        <w:t>20. 争议解决</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20.3 争议评审</w:t>
      </w:r>
    </w:p>
    <w:p>
      <w:pPr>
        <w:adjustRightInd w:val="0"/>
        <w:snapToGrid w:val="0"/>
        <w:spacing w:line="360" w:lineRule="auto"/>
        <w:ind w:left="149" w:leftChars="71" w:firstLine="360" w:firstLineChars="150"/>
        <w:jc w:val="left"/>
        <w:rPr>
          <w:rFonts w:ascii="宋体" w:hAnsi="宋体"/>
          <w:color w:val="auto"/>
          <w:sz w:val="24"/>
        </w:rPr>
      </w:pPr>
      <w:r>
        <w:rPr>
          <w:rFonts w:ascii="宋体" w:hAnsi="宋体"/>
          <w:color w:val="auto"/>
          <w:sz w:val="24"/>
        </w:rPr>
        <w:t>合同当事人是否同意将工程争议提交争议评审小组决</w:t>
      </w:r>
      <w:r>
        <w:rPr>
          <w:rFonts w:hint="eastAsia" w:ascii="宋体" w:hAnsi="宋体"/>
          <w:color w:val="auto"/>
          <w:sz w:val="24"/>
        </w:rPr>
        <w:t>定：</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 xml:space="preserve">  </w:t>
      </w:r>
    </w:p>
    <w:p>
      <w:pPr>
        <w:adjustRightInd w:val="0"/>
        <w:snapToGrid w:val="0"/>
        <w:spacing w:line="360" w:lineRule="auto"/>
        <w:ind w:firstLine="480" w:firstLineChars="200"/>
        <w:jc w:val="left"/>
        <w:outlineLvl w:val="0"/>
        <w:rPr>
          <w:rFonts w:ascii="宋体" w:hAnsi="宋体"/>
          <w:color w:val="auto"/>
          <w:sz w:val="24"/>
        </w:rPr>
      </w:pPr>
      <w:r>
        <w:rPr>
          <w:rFonts w:ascii="宋体" w:hAnsi="宋体"/>
          <w:color w:val="auto"/>
          <w:sz w:val="24"/>
        </w:rPr>
        <w:t>20.3.1 争议评审小组的确定</w:t>
      </w:r>
    </w:p>
    <w:p>
      <w:pPr>
        <w:adjustRightInd w:val="0"/>
        <w:snapToGrid w:val="0"/>
        <w:spacing w:line="360" w:lineRule="auto"/>
        <w:ind w:firstLine="480" w:firstLineChars="200"/>
        <w:jc w:val="left"/>
        <w:rPr>
          <w:rFonts w:ascii="宋体" w:hAnsi="宋体"/>
          <w:color w:val="auto"/>
          <w:sz w:val="24"/>
          <w:u w:val="single"/>
        </w:rPr>
      </w:pPr>
      <w:r>
        <w:rPr>
          <w:rFonts w:ascii="宋体" w:hAnsi="宋体"/>
          <w:color w:val="auto"/>
          <w:sz w:val="24"/>
        </w:rPr>
        <w:t>争议评审小组成员的确定：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选定争议评审员的期限：</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争议评审小组成员的报酬承担方式：</w:t>
      </w:r>
      <w:r>
        <w:rPr>
          <w:rFonts w:hint="eastAsia"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其他事项的约定：</w:t>
      </w:r>
      <w:r>
        <w:rPr>
          <w:rFonts w:hint="eastAsia" w:ascii="宋体" w:hAnsi="宋体"/>
          <w:color w:val="auto"/>
          <w:sz w:val="24"/>
          <w:u w:val="single"/>
        </w:rPr>
        <w:t xml:space="preserve">∥ </w:t>
      </w:r>
      <w:r>
        <w:rPr>
          <w:rFonts w:ascii="宋体" w:hAnsi="宋体"/>
          <w:color w:val="auto"/>
          <w:sz w:val="24"/>
        </w:rPr>
        <w:t>。</w:t>
      </w:r>
    </w:p>
    <w:p>
      <w:pPr>
        <w:autoSpaceDE w:val="0"/>
        <w:autoSpaceDN w:val="0"/>
        <w:adjustRightInd w:val="0"/>
        <w:snapToGrid w:val="0"/>
        <w:spacing w:line="360" w:lineRule="auto"/>
        <w:ind w:firstLine="480" w:firstLineChars="200"/>
        <w:jc w:val="left"/>
        <w:outlineLvl w:val="0"/>
        <w:rPr>
          <w:rFonts w:ascii="宋体" w:hAnsi="宋体"/>
          <w:color w:val="auto"/>
          <w:kern w:val="0"/>
          <w:sz w:val="24"/>
        </w:rPr>
      </w:pPr>
      <w:r>
        <w:rPr>
          <w:rFonts w:ascii="宋体" w:hAnsi="宋体"/>
          <w:color w:val="auto"/>
          <w:kern w:val="0"/>
          <w:sz w:val="24"/>
        </w:rPr>
        <w:t>20.3.2 争议评审小组的决定</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合同当事人关于本项的约定：</w:t>
      </w:r>
      <w:r>
        <w:rPr>
          <w:rFonts w:hint="eastAsia" w:ascii="宋体" w:hAnsi="宋体"/>
          <w:color w:val="auto"/>
          <w:sz w:val="24"/>
          <w:u w:val="single"/>
        </w:rPr>
        <w:t xml:space="preserve">∥ </w:t>
      </w:r>
      <w:r>
        <w:rPr>
          <w:rFonts w:ascii="宋体" w:hAnsi="宋体"/>
          <w:color w:val="auto"/>
          <w:sz w:val="24"/>
        </w:rPr>
        <w:t>。</w:t>
      </w:r>
    </w:p>
    <w:p>
      <w:pPr>
        <w:adjustRightInd w:val="0"/>
        <w:snapToGrid w:val="0"/>
        <w:spacing w:after="120" w:line="360" w:lineRule="auto"/>
        <w:ind w:firstLine="480" w:firstLineChars="200"/>
        <w:outlineLvl w:val="0"/>
        <w:rPr>
          <w:rFonts w:ascii="宋体" w:hAnsi="宋体"/>
          <w:color w:val="auto"/>
          <w:sz w:val="24"/>
        </w:rPr>
      </w:pPr>
      <w:r>
        <w:rPr>
          <w:rFonts w:ascii="宋体" w:hAnsi="宋体"/>
          <w:color w:val="auto"/>
          <w:sz w:val="24"/>
        </w:rPr>
        <w:t>20.4仲裁或诉讼</w:t>
      </w:r>
    </w:p>
    <w:p>
      <w:pPr>
        <w:adjustRightInd w:val="0"/>
        <w:snapToGrid w:val="0"/>
        <w:spacing w:after="120" w:line="360" w:lineRule="auto"/>
        <w:ind w:firstLine="480" w:firstLineChars="200"/>
        <w:rPr>
          <w:rFonts w:ascii="宋体" w:hAnsi="宋体"/>
          <w:color w:val="auto"/>
          <w:sz w:val="24"/>
        </w:rPr>
      </w:pPr>
      <w:r>
        <w:rPr>
          <w:rFonts w:ascii="宋体" w:hAnsi="宋体"/>
          <w:color w:val="auto"/>
          <w:sz w:val="24"/>
        </w:rPr>
        <w:t>因合同及合同有关事项发生的争议，按下列第</w:t>
      </w:r>
      <w:r>
        <w:rPr>
          <w:rFonts w:ascii="宋体" w:hAnsi="宋体"/>
          <w:color w:val="auto"/>
          <w:sz w:val="24"/>
          <w:u w:val="single"/>
        </w:rPr>
        <w:t xml:space="preserve"> </w:t>
      </w:r>
      <w:r>
        <w:rPr>
          <w:rFonts w:hint="eastAsia" w:ascii="宋体" w:hAnsi="宋体"/>
          <w:color w:val="auto"/>
          <w:sz w:val="24"/>
          <w:u w:val="single"/>
        </w:rPr>
        <w:t>（2）</w:t>
      </w:r>
      <w:r>
        <w:rPr>
          <w:rFonts w:ascii="宋体" w:hAnsi="宋体"/>
          <w:color w:val="auto"/>
          <w:sz w:val="24"/>
          <w:u w:val="single"/>
        </w:rPr>
        <w:t xml:space="preserve"> </w:t>
      </w:r>
      <w:r>
        <w:rPr>
          <w:rFonts w:ascii="宋体" w:hAnsi="宋体"/>
          <w:color w:val="auto"/>
          <w:sz w:val="24"/>
        </w:rPr>
        <w:t>种方式</w:t>
      </w:r>
      <w:r>
        <w:rPr>
          <w:rFonts w:hint="eastAsia" w:ascii="宋体" w:hAnsi="宋体"/>
          <w:color w:val="auto"/>
          <w:sz w:val="24"/>
        </w:rPr>
        <w:t>解</w:t>
      </w:r>
      <w:r>
        <w:rPr>
          <w:rFonts w:ascii="宋体" w:hAnsi="宋体"/>
          <w:color w:val="auto"/>
          <w:sz w:val="24"/>
        </w:rPr>
        <w:t>决：</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（1）向</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仲裁委员会申请仲裁；</w:t>
      </w:r>
    </w:p>
    <w:p>
      <w:pPr>
        <w:adjustRightInd w:val="0"/>
        <w:snapToGrid w:val="0"/>
        <w:spacing w:line="360" w:lineRule="auto"/>
        <w:ind w:firstLine="480" w:firstLineChars="200"/>
        <w:jc w:val="left"/>
        <w:rPr>
          <w:rFonts w:ascii="宋体" w:hAnsi="宋体"/>
          <w:color w:val="auto"/>
          <w:sz w:val="24"/>
        </w:rPr>
      </w:pPr>
      <w:r>
        <w:rPr>
          <w:rFonts w:ascii="宋体" w:hAnsi="宋体"/>
          <w:color w:val="auto"/>
          <w:sz w:val="24"/>
        </w:rPr>
        <w:t>（2）向</w:t>
      </w:r>
      <w:r>
        <w:rPr>
          <w:rFonts w:ascii="宋体" w:hAnsi="宋体"/>
          <w:color w:val="auto"/>
          <w:sz w:val="24"/>
          <w:u w:val="single"/>
        </w:rPr>
        <w:t xml:space="preserve"> </w:t>
      </w:r>
      <w:r>
        <w:rPr>
          <w:rFonts w:hint="eastAsia" w:ascii="宋体" w:hAnsi="宋体"/>
          <w:color w:val="auto"/>
          <w:sz w:val="24"/>
          <w:u w:val="single"/>
        </w:rPr>
        <w:t>常州市天宁区</w:t>
      </w:r>
      <w:r>
        <w:rPr>
          <w:rFonts w:ascii="宋体" w:hAnsi="宋体"/>
          <w:color w:val="auto"/>
          <w:sz w:val="24"/>
          <w:u w:val="single"/>
        </w:rPr>
        <w:t xml:space="preserve"> </w:t>
      </w:r>
      <w:r>
        <w:rPr>
          <w:rFonts w:ascii="宋体" w:hAnsi="宋体"/>
          <w:color w:val="auto"/>
          <w:sz w:val="24"/>
        </w:rPr>
        <w:t>人民法院起诉。</w:t>
      </w:r>
    </w:p>
    <w:p>
      <w:pPr>
        <w:pStyle w:val="6"/>
        <w:numPr>
          <w:ilvl w:val="3"/>
          <w:numId w:val="5"/>
        </w:numPr>
        <w:adjustRightInd w:val="0"/>
        <w:snapToGrid w:val="0"/>
        <w:spacing w:before="120" w:after="120" w:line="360" w:lineRule="auto"/>
        <w:ind w:left="141" w:leftChars="67"/>
        <w:textAlignment w:val="baseline"/>
        <w:rPr>
          <w:rFonts w:ascii="宋体" w:hAnsi="宋体" w:eastAsia="宋体"/>
          <w:b w:val="0"/>
          <w:color w:val="auto"/>
          <w:sz w:val="24"/>
        </w:rPr>
      </w:pPr>
      <w:r>
        <w:rPr>
          <w:rFonts w:ascii="宋体" w:hAnsi="宋体" w:eastAsia="宋体"/>
          <w:b w:val="0"/>
          <w:color w:val="auto"/>
          <w:sz w:val="24"/>
        </w:rPr>
        <w:t>2</w:t>
      </w:r>
      <w:r>
        <w:rPr>
          <w:rFonts w:hint="eastAsia" w:ascii="宋体" w:hAnsi="宋体" w:eastAsia="宋体"/>
          <w:b w:val="0"/>
          <w:color w:val="auto"/>
          <w:sz w:val="24"/>
        </w:rPr>
        <w:t>1</w:t>
      </w:r>
      <w:r>
        <w:rPr>
          <w:rFonts w:ascii="宋体" w:hAnsi="宋体" w:eastAsia="宋体"/>
          <w:b w:val="0"/>
          <w:color w:val="auto"/>
          <w:sz w:val="24"/>
        </w:rPr>
        <w:t xml:space="preserve">. </w:t>
      </w:r>
      <w:r>
        <w:rPr>
          <w:rFonts w:hint="eastAsia" w:ascii="宋体" w:hAnsi="宋体" w:eastAsia="宋体"/>
          <w:b w:val="0"/>
          <w:color w:val="auto"/>
          <w:sz w:val="24"/>
        </w:rPr>
        <w:t>其他条款</w:t>
      </w:r>
    </w:p>
    <w:p>
      <w:pPr>
        <w:adjustRightInd w:val="0"/>
        <w:snapToGrid w:val="0"/>
        <w:spacing w:line="360" w:lineRule="auto"/>
        <w:ind w:left="141" w:leftChars="67"/>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r>
        <w:rPr>
          <w:rFonts w:hint="eastAsia" w:ascii="宋体" w:hAnsi="宋体"/>
          <w:color w:val="auto"/>
          <w:sz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color w:val="auto"/>
          <w:sz w:val="24"/>
          <w:u w:val="single"/>
        </w:rPr>
      </w:pPr>
      <w:r>
        <w:rPr>
          <w:rFonts w:hint="eastAsia" w:ascii="宋体" w:hAnsi="宋体"/>
          <w:color w:val="auto"/>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color w:val="auto"/>
          <w:sz w:val="24"/>
          <w:u w:val="single"/>
        </w:rPr>
      </w:pPr>
      <w:r>
        <w:rPr>
          <w:rFonts w:hint="eastAsia" w:ascii="宋体" w:hAnsi="宋体"/>
          <w:color w:val="auto"/>
          <w:sz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color w:val="auto"/>
          <w:sz w:val="24"/>
          <w:u w:val="single"/>
        </w:rPr>
      </w:pPr>
      <w:r>
        <w:rPr>
          <w:rFonts w:hint="eastAsia" w:ascii="宋体" w:hAnsi="宋体"/>
          <w:color w:val="auto"/>
          <w:sz w:val="24"/>
          <w:u w:val="single"/>
        </w:rPr>
        <w:t>4、其他未尽事宜双方协商解决。</w:t>
      </w:r>
    </w:p>
    <w:p>
      <w:pPr>
        <w:adjustRightInd w:val="0"/>
        <w:snapToGrid w:val="0"/>
        <w:spacing w:line="360" w:lineRule="auto"/>
        <w:ind w:firstLine="480" w:firstLineChars="200"/>
        <w:jc w:val="left"/>
        <w:rPr>
          <w:rFonts w:ascii="宋体" w:hAnsi="宋体"/>
          <w:color w:val="auto"/>
          <w:sz w:val="24"/>
          <w:u w:val="single"/>
        </w:rPr>
      </w:pPr>
    </w:p>
    <w:p>
      <w:pPr>
        <w:adjustRightInd w:val="0"/>
        <w:snapToGrid w:val="0"/>
        <w:spacing w:line="360" w:lineRule="auto"/>
        <w:ind w:firstLine="480" w:firstLineChars="200"/>
        <w:jc w:val="left"/>
        <w:rPr>
          <w:rFonts w:ascii="宋体" w:hAnsi="宋体"/>
          <w:color w:val="auto"/>
          <w:sz w:val="24"/>
          <w:u w:val="single"/>
        </w:rPr>
      </w:pPr>
    </w:p>
    <w:p>
      <w:pPr>
        <w:adjustRightInd w:val="0"/>
        <w:snapToGrid w:val="0"/>
        <w:spacing w:line="360" w:lineRule="auto"/>
        <w:jc w:val="left"/>
        <w:rPr>
          <w:rFonts w:hint="eastAsia" w:ascii="宋体" w:hAnsi="宋体"/>
          <w:b/>
          <w:color w:val="auto"/>
          <w:sz w:val="24"/>
        </w:rPr>
      </w:pPr>
      <w:bookmarkStart w:id="107" w:name="_Toc351203652"/>
    </w:p>
    <w:p>
      <w:pPr>
        <w:adjustRightInd w:val="0"/>
        <w:snapToGrid w:val="0"/>
        <w:spacing w:line="360" w:lineRule="auto"/>
        <w:jc w:val="left"/>
        <w:rPr>
          <w:rFonts w:hint="eastAsia" w:ascii="宋体" w:hAnsi="宋体"/>
          <w:b/>
          <w:color w:val="auto"/>
          <w:sz w:val="24"/>
        </w:rPr>
      </w:pPr>
    </w:p>
    <w:p>
      <w:pPr>
        <w:adjustRightInd w:val="0"/>
        <w:snapToGrid w:val="0"/>
        <w:spacing w:line="360" w:lineRule="auto"/>
        <w:jc w:val="left"/>
        <w:rPr>
          <w:rFonts w:ascii="宋体" w:hAnsi="宋体"/>
          <w:b/>
          <w:color w:val="auto"/>
          <w:sz w:val="24"/>
        </w:rPr>
      </w:pPr>
      <w:r>
        <w:rPr>
          <w:rFonts w:hint="eastAsia" w:ascii="宋体" w:hAnsi="宋体"/>
          <w:b/>
          <w:color w:val="auto"/>
          <w:sz w:val="24"/>
        </w:rPr>
        <w:t>合同</w:t>
      </w:r>
      <w:r>
        <w:rPr>
          <w:rFonts w:ascii="宋体" w:hAnsi="宋体"/>
          <w:b/>
          <w:color w:val="auto"/>
          <w:sz w:val="24"/>
        </w:rPr>
        <w:t>附件</w:t>
      </w:r>
      <w:bookmarkEnd w:id="107"/>
      <w:r>
        <w:rPr>
          <w:rFonts w:hint="eastAsia" w:ascii="宋体" w:hAnsi="宋体"/>
          <w:b/>
          <w:color w:val="auto"/>
          <w:sz w:val="24"/>
        </w:rPr>
        <w:t>：</w:t>
      </w:r>
    </w:p>
    <w:p>
      <w:pPr>
        <w:adjustRightInd w:val="0"/>
        <w:snapToGrid w:val="0"/>
        <w:spacing w:before="156" w:beforeLines="50" w:after="156" w:afterLines="50" w:line="360" w:lineRule="auto"/>
        <w:jc w:val="center"/>
        <w:rPr>
          <w:rFonts w:ascii="宋体" w:hAnsi="宋体"/>
          <w:b/>
          <w:color w:val="auto"/>
          <w:sz w:val="32"/>
          <w:szCs w:val="32"/>
        </w:rPr>
      </w:pPr>
      <w:r>
        <w:rPr>
          <w:rFonts w:ascii="宋体" w:hAnsi="宋体"/>
          <w:b/>
          <w:color w:val="auto"/>
          <w:sz w:val="32"/>
          <w:szCs w:val="32"/>
        </w:rPr>
        <w:t>工程质量保修书</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发包人（全称）：</w:t>
      </w:r>
      <w:r>
        <w:rPr>
          <w:rFonts w:hint="eastAsia" w:ascii="宋体" w:hAnsi="宋体"/>
          <w:bCs/>
          <w:color w:val="auto"/>
          <w:sz w:val="24"/>
          <w:u w:val="single"/>
        </w:rPr>
        <w:t>常州市天宁区青龙街道办事处</w:t>
      </w:r>
      <w:r>
        <w:rPr>
          <w:rFonts w:ascii="宋体" w:hAnsi="宋体"/>
          <w:color w:val="auto"/>
          <w:sz w:val="24"/>
        </w:rPr>
        <w:t xml:space="preserve"> </w:t>
      </w:r>
    </w:p>
    <w:p>
      <w:pPr>
        <w:adjustRightInd w:val="0"/>
        <w:snapToGrid w:val="0"/>
        <w:spacing w:line="360" w:lineRule="auto"/>
        <w:rPr>
          <w:rFonts w:ascii="宋体" w:hAnsi="宋体"/>
          <w:color w:val="auto"/>
          <w:sz w:val="24"/>
        </w:rPr>
      </w:pPr>
      <w:r>
        <w:rPr>
          <w:rFonts w:ascii="宋体" w:hAnsi="宋体"/>
          <w:color w:val="auto"/>
          <w:sz w:val="24"/>
        </w:rPr>
        <w:t>　　承包人（全称）：</w:t>
      </w:r>
      <w:r>
        <w:rPr>
          <w:rFonts w:ascii="宋体" w:hAnsi="宋体"/>
          <w:color w:val="auto"/>
          <w:sz w:val="24"/>
          <w:u w:val="single"/>
        </w:rPr>
        <w:t xml:space="preserve">   </w:t>
      </w:r>
      <w:r>
        <w:rPr>
          <w:rFonts w:hint="eastAsia" w:ascii="宋体" w:hAnsi="宋体"/>
          <w:snapToGrid w:val="0"/>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adjustRightInd w:val="0"/>
        <w:snapToGrid w:val="0"/>
        <w:spacing w:line="360" w:lineRule="auto"/>
        <w:rPr>
          <w:rFonts w:ascii="宋体" w:hAnsi="宋体"/>
          <w:color w:val="auto"/>
          <w:sz w:val="24"/>
        </w:rPr>
      </w:pPr>
    </w:p>
    <w:p>
      <w:pPr>
        <w:adjustRightInd w:val="0"/>
        <w:snapToGrid w:val="0"/>
        <w:spacing w:line="360" w:lineRule="auto"/>
        <w:rPr>
          <w:rFonts w:ascii="宋体" w:hAnsi="宋体"/>
          <w:color w:val="auto"/>
          <w:sz w:val="24"/>
        </w:rPr>
      </w:pPr>
      <w:r>
        <w:rPr>
          <w:rFonts w:ascii="宋体" w:hAnsi="宋体"/>
          <w:color w:val="auto"/>
          <w:sz w:val="24"/>
        </w:rPr>
        <w:t>　　发包人和承包人根据《中华人民共和国建筑法》和《建设工程质量管理条例》，经协商一致就</w:t>
      </w:r>
      <w:r>
        <w:rPr>
          <w:rFonts w:hint="eastAsia" w:ascii="宋体" w:hAnsi="宋体"/>
          <w:color w:val="auto"/>
          <w:sz w:val="24"/>
          <w:u w:val="single"/>
        </w:rPr>
        <w:t xml:space="preserve"> </w:t>
      </w:r>
      <w:r>
        <w:rPr>
          <w:rFonts w:hint="eastAsia" w:ascii="宋体" w:hAnsi="宋体"/>
          <w:bCs/>
          <w:color w:val="auto"/>
          <w:sz w:val="24"/>
        </w:rPr>
        <w:t>优抚接待站能力建设改造项目</w:t>
      </w:r>
      <w:r>
        <w:rPr>
          <w:rFonts w:hint="eastAsia" w:ascii="宋体" w:hAnsi="宋体"/>
          <w:snapToGrid w:val="0"/>
          <w:color w:val="auto"/>
          <w:sz w:val="24"/>
          <w:u w:val="single"/>
        </w:rPr>
        <w:t xml:space="preserve"> </w:t>
      </w:r>
      <w:r>
        <w:rPr>
          <w:rFonts w:ascii="宋体" w:hAnsi="宋体"/>
          <w:color w:val="auto"/>
          <w:sz w:val="24"/>
        </w:rPr>
        <w:t>（工程全称）签订工程质量保修书。</w:t>
      </w:r>
    </w:p>
    <w:p>
      <w:pPr>
        <w:adjustRightInd w:val="0"/>
        <w:snapToGrid w:val="0"/>
        <w:spacing w:line="360" w:lineRule="auto"/>
        <w:outlineLvl w:val="0"/>
        <w:rPr>
          <w:rFonts w:ascii="宋体" w:hAnsi="宋体"/>
          <w:color w:val="auto"/>
          <w:sz w:val="24"/>
        </w:rPr>
      </w:pPr>
      <w:r>
        <w:rPr>
          <w:rFonts w:ascii="宋体" w:hAnsi="宋体"/>
          <w:color w:val="auto"/>
          <w:sz w:val="24"/>
        </w:rPr>
        <w:t>　　一、工程质量保修范围和内容</w:t>
      </w:r>
    </w:p>
    <w:p>
      <w:pPr>
        <w:adjustRightInd w:val="0"/>
        <w:snapToGrid w:val="0"/>
        <w:spacing w:line="360" w:lineRule="auto"/>
        <w:rPr>
          <w:rFonts w:ascii="宋体" w:hAnsi="宋体"/>
          <w:color w:val="auto"/>
          <w:sz w:val="24"/>
        </w:rPr>
      </w:pPr>
      <w:r>
        <w:rPr>
          <w:rFonts w:ascii="宋体" w:hAnsi="宋体"/>
          <w:color w:val="auto"/>
          <w:sz w:val="24"/>
        </w:rPr>
        <w:t>　　承包人在质量保修期内，按照有关法律规定和合同约定，承担工程质量保修责任。</w:t>
      </w:r>
    </w:p>
    <w:p>
      <w:pPr>
        <w:adjustRightInd w:val="0"/>
        <w:snapToGrid w:val="0"/>
        <w:spacing w:line="360" w:lineRule="auto"/>
        <w:rPr>
          <w:rFonts w:ascii="宋体" w:hAnsi="宋体"/>
          <w:color w:val="auto"/>
          <w:sz w:val="24"/>
        </w:rPr>
      </w:pPr>
      <w:r>
        <w:rPr>
          <w:rFonts w:ascii="宋体" w:hAnsi="宋体"/>
          <w:color w:val="auto"/>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 w:val="24"/>
          <w:u w:val="single"/>
        </w:rPr>
        <w:t>按合同承包范围内容</w:t>
      </w:r>
      <w:r>
        <w:rPr>
          <w:rFonts w:ascii="宋体" w:hAnsi="宋体"/>
          <w:color w:val="auto"/>
          <w:sz w:val="24"/>
        </w:rPr>
        <w:t>。</w:t>
      </w:r>
    </w:p>
    <w:p>
      <w:pPr>
        <w:adjustRightInd w:val="0"/>
        <w:snapToGrid w:val="0"/>
        <w:spacing w:line="360" w:lineRule="auto"/>
        <w:outlineLvl w:val="0"/>
        <w:rPr>
          <w:rFonts w:ascii="宋体" w:hAnsi="宋体"/>
          <w:color w:val="auto"/>
          <w:sz w:val="24"/>
        </w:rPr>
      </w:pPr>
      <w:r>
        <w:rPr>
          <w:rFonts w:ascii="宋体" w:hAnsi="宋体"/>
          <w:b/>
          <w:color w:val="auto"/>
          <w:sz w:val="24"/>
        </w:rPr>
        <w:t>　　</w:t>
      </w:r>
    </w:p>
    <w:p>
      <w:pPr>
        <w:adjustRightInd w:val="0"/>
        <w:snapToGrid w:val="0"/>
        <w:spacing w:line="360" w:lineRule="auto"/>
        <w:rPr>
          <w:rFonts w:ascii="宋体" w:hAnsi="宋体"/>
          <w:color w:val="auto"/>
          <w:sz w:val="24"/>
        </w:rPr>
      </w:pPr>
      <w:r>
        <w:rPr>
          <w:rFonts w:ascii="宋体" w:hAnsi="宋体"/>
          <w:color w:val="auto"/>
          <w:sz w:val="24"/>
        </w:rPr>
        <w:t>　</w:t>
      </w:r>
      <w:r>
        <w:rPr>
          <w:rFonts w:ascii="宋体" w:hAnsi="宋体"/>
          <w:color w:val="auto"/>
          <w:sz w:val="24"/>
        </w:rPr>
        <w:t>　质量保修期自工程竣工验收合格之日起计算。</w:t>
      </w:r>
    </w:p>
    <w:p>
      <w:pPr>
        <w:adjustRightInd w:val="0"/>
        <w:snapToGrid w:val="0"/>
        <w:spacing w:line="360" w:lineRule="auto"/>
        <w:ind w:firstLine="480" w:firstLineChars="200"/>
        <w:outlineLvl w:val="0"/>
        <w:rPr>
          <w:rFonts w:ascii="宋体" w:hAnsi="宋体"/>
          <w:color w:val="auto"/>
          <w:sz w:val="24"/>
        </w:rPr>
      </w:pPr>
      <w:r>
        <w:rPr>
          <w:rFonts w:ascii="宋体" w:hAnsi="宋体"/>
          <w:color w:val="auto"/>
          <w:sz w:val="24"/>
        </w:rPr>
        <w:t>三、缺陷责任期</w:t>
      </w:r>
    </w:p>
    <w:p>
      <w:pPr>
        <w:adjustRightInd w:val="0"/>
        <w:snapToGrid w:val="0"/>
        <w:spacing w:line="360" w:lineRule="auto"/>
        <w:ind w:firstLine="480" w:firstLineChars="200"/>
        <w:rPr>
          <w:rFonts w:ascii="宋体" w:hAnsi="宋体"/>
          <w:color w:val="auto"/>
          <w:sz w:val="24"/>
        </w:rPr>
      </w:pPr>
      <w:r>
        <w:rPr>
          <w:rFonts w:ascii="宋体" w:hAnsi="宋体"/>
          <w:color w:val="auto"/>
          <w:sz w:val="24"/>
        </w:rPr>
        <w:t>工程缺陷责任期为</w:t>
      </w:r>
      <w:r>
        <w:rPr>
          <w:rFonts w:ascii="宋体" w:hAnsi="宋体"/>
          <w:color w:val="auto"/>
          <w:sz w:val="24"/>
          <w:u w:val="single"/>
        </w:rPr>
        <w:t xml:space="preserve"> </w:t>
      </w:r>
      <w:r>
        <w:rPr>
          <w:rFonts w:hint="eastAsia" w:ascii="宋体" w:hAnsi="宋体"/>
          <w:color w:val="auto"/>
          <w:sz w:val="24"/>
          <w:u w:val="single"/>
        </w:rPr>
        <w:t>24</w:t>
      </w:r>
      <w:r>
        <w:rPr>
          <w:rFonts w:ascii="宋体" w:hAnsi="宋体"/>
          <w:color w:val="auto"/>
          <w:sz w:val="24"/>
          <w:u w:val="single"/>
        </w:rPr>
        <w:t xml:space="preserve"> </w:t>
      </w:r>
      <w:r>
        <w:rPr>
          <w:rFonts w:ascii="宋体" w:hAnsi="宋体"/>
          <w:color w:val="auto"/>
          <w:sz w:val="24"/>
        </w:rPr>
        <w:t>个月，缺陷责任期自工程</w:t>
      </w:r>
      <w:r>
        <w:rPr>
          <w:rFonts w:hint="eastAsia" w:ascii="宋体" w:hAnsi="宋体"/>
          <w:color w:val="auto"/>
          <w:sz w:val="24"/>
        </w:rPr>
        <w:t>通过竣工验收</w:t>
      </w:r>
      <w:r>
        <w:rPr>
          <w:rFonts w:ascii="宋体" w:hAnsi="宋体"/>
          <w:color w:val="auto"/>
          <w:sz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color w:val="auto"/>
          <w:sz w:val="24"/>
        </w:rPr>
      </w:pPr>
      <w:r>
        <w:rPr>
          <w:rFonts w:ascii="宋体" w:hAnsi="宋体"/>
          <w:color w:val="auto"/>
          <w:sz w:val="24"/>
        </w:rPr>
        <w:t>缺陷责任期终止后，发包人应退还剩余的质量保证金。</w:t>
      </w:r>
    </w:p>
    <w:p>
      <w:pPr>
        <w:adjustRightInd w:val="0"/>
        <w:snapToGrid w:val="0"/>
        <w:spacing w:line="360" w:lineRule="auto"/>
        <w:outlineLvl w:val="0"/>
        <w:rPr>
          <w:rFonts w:ascii="宋体" w:hAnsi="宋体"/>
          <w:color w:val="auto"/>
          <w:sz w:val="24"/>
        </w:rPr>
      </w:pPr>
      <w:r>
        <w:rPr>
          <w:rFonts w:ascii="宋体" w:hAnsi="宋体"/>
          <w:color w:val="auto"/>
          <w:sz w:val="24"/>
        </w:rPr>
        <w:t xml:space="preserve">    四、质量保修责任</w:t>
      </w:r>
    </w:p>
    <w:p>
      <w:pPr>
        <w:adjustRightInd w:val="0"/>
        <w:snapToGrid w:val="0"/>
        <w:spacing w:line="360" w:lineRule="auto"/>
        <w:ind w:left="105" w:leftChars="50" w:firstLine="491" w:firstLineChars="205"/>
        <w:rPr>
          <w:rFonts w:ascii="宋体" w:hAnsi="宋体"/>
          <w:color w:val="auto"/>
          <w:sz w:val="24"/>
        </w:rPr>
      </w:pPr>
      <w:r>
        <w:rPr>
          <w:rFonts w:hint="eastAsia" w:ascii="宋体" w:hAnsi="宋体"/>
          <w:color w:val="auto"/>
          <w:sz w:val="24"/>
        </w:rPr>
        <w:t>1</w:t>
      </w:r>
      <w:r>
        <w:rPr>
          <w:rFonts w:hint="eastAsia" w:ascii="宋体" w:hAnsi="宋体"/>
          <w:color w:val="auto"/>
          <w:sz w:val="24"/>
        </w:rPr>
        <w:t>．</w:t>
      </w:r>
      <w:r>
        <w:rPr>
          <w:rFonts w:ascii="宋体" w:hAnsi="宋体"/>
          <w:color w:val="auto"/>
          <w:sz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color w:val="auto"/>
          <w:sz w:val="24"/>
        </w:rPr>
      </w:pPr>
      <w:r>
        <w:rPr>
          <w:rFonts w:hint="eastAsia" w:ascii="宋体" w:hAnsi="宋体"/>
          <w:color w:val="auto"/>
          <w:sz w:val="24"/>
        </w:rPr>
        <w:t>2</w:t>
      </w:r>
      <w:r>
        <w:rPr>
          <w:rFonts w:hint="eastAsia" w:ascii="宋体" w:hAnsi="宋体"/>
          <w:color w:val="auto"/>
          <w:sz w:val="24"/>
        </w:rPr>
        <w:t>．</w:t>
      </w:r>
      <w:r>
        <w:rPr>
          <w:rFonts w:ascii="宋体" w:hAnsi="宋体"/>
          <w:color w:val="auto"/>
          <w:sz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color w:val="auto"/>
          <w:sz w:val="24"/>
        </w:rPr>
      </w:pPr>
      <w:r>
        <w:rPr>
          <w:rFonts w:hint="eastAsia" w:ascii="宋体" w:hAnsi="宋体"/>
          <w:color w:val="auto"/>
          <w:sz w:val="24"/>
        </w:rPr>
        <w:t>3</w:t>
      </w:r>
      <w:r>
        <w:rPr>
          <w:rFonts w:hint="eastAsia" w:ascii="宋体" w:hAnsi="宋体"/>
          <w:color w:val="auto"/>
          <w:sz w:val="24"/>
        </w:rPr>
        <w:t>．</w:t>
      </w:r>
      <w:r>
        <w:rPr>
          <w:rFonts w:ascii="宋体" w:hAnsi="宋体"/>
          <w:color w:val="auto"/>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color w:val="auto"/>
          <w:sz w:val="24"/>
        </w:rPr>
      </w:pPr>
      <w:r>
        <w:rPr>
          <w:rFonts w:hint="eastAsia" w:ascii="宋体" w:hAnsi="宋体"/>
          <w:color w:val="auto"/>
          <w:sz w:val="24"/>
        </w:rPr>
        <w:t>4</w:t>
      </w:r>
      <w:r>
        <w:rPr>
          <w:rFonts w:hint="eastAsia" w:ascii="宋体" w:hAnsi="宋体"/>
          <w:color w:val="auto"/>
          <w:sz w:val="24"/>
        </w:rPr>
        <w:t>．</w:t>
      </w:r>
      <w:r>
        <w:rPr>
          <w:rFonts w:ascii="宋体" w:hAnsi="宋体"/>
          <w:color w:val="auto"/>
          <w:sz w:val="24"/>
        </w:rPr>
        <w:t>质量保修完成后，由发包人组织验收。</w:t>
      </w:r>
    </w:p>
    <w:p>
      <w:pPr>
        <w:adjustRightInd w:val="0"/>
        <w:snapToGrid w:val="0"/>
        <w:spacing w:line="360" w:lineRule="auto"/>
        <w:outlineLvl w:val="0"/>
        <w:rPr>
          <w:rFonts w:ascii="宋体" w:hAnsi="宋体"/>
          <w:color w:val="auto"/>
          <w:sz w:val="24"/>
        </w:rPr>
      </w:pPr>
      <w:r>
        <w:rPr>
          <w:rFonts w:ascii="宋体" w:hAnsi="宋体"/>
          <w:color w:val="auto"/>
          <w:sz w:val="24"/>
        </w:rPr>
        <w:t>　　五、保修费用</w:t>
      </w:r>
    </w:p>
    <w:p>
      <w:pPr>
        <w:adjustRightInd w:val="0"/>
        <w:snapToGrid w:val="0"/>
        <w:spacing w:line="360" w:lineRule="auto"/>
        <w:rPr>
          <w:rFonts w:ascii="宋体" w:hAnsi="宋体"/>
          <w:color w:val="auto"/>
          <w:sz w:val="24"/>
        </w:rPr>
      </w:pPr>
      <w:r>
        <w:rPr>
          <w:rFonts w:ascii="宋体" w:hAnsi="宋体"/>
          <w:color w:val="auto"/>
          <w:sz w:val="24"/>
        </w:rPr>
        <w:t>　　保修费用由造成质量缺陷的责任方承担。</w:t>
      </w:r>
    </w:p>
    <w:p>
      <w:pPr>
        <w:adjustRightInd w:val="0"/>
        <w:snapToGrid w:val="0"/>
        <w:spacing w:line="360" w:lineRule="auto"/>
        <w:ind w:firstLine="600"/>
        <w:jc w:val="left"/>
        <w:outlineLvl w:val="0"/>
        <w:rPr>
          <w:rFonts w:ascii="宋体" w:hAnsi="宋体"/>
          <w:color w:val="auto"/>
          <w:sz w:val="24"/>
        </w:rPr>
      </w:pPr>
      <w:r>
        <w:rPr>
          <w:rFonts w:ascii="宋体" w:hAnsi="宋体"/>
          <w:b/>
          <w:color w:val="auto"/>
          <w:sz w:val="24"/>
        </w:rPr>
        <w:t>六</w:t>
      </w:r>
      <w:r>
        <w:rPr>
          <w:rFonts w:ascii="宋体" w:hAnsi="宋体"/>
          <w:color w:val="auto"/>
          <w:sz w:val="24"/>
        </w:rPr>
        <w:t>、双方约定的其他工程质量保修事项：</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adjustRightInd w:val="0"/>
        <w:snapToGrid w:val="0"/>
        <w:spacing w:line="360" w:lineRule="auto"/>
        <w:ind w:firstLine="456" w:firstLineChars="190"/>
        <w:rPr>
          <w:rFonts w:ascii="宋体" w:hAnsi="宋体"/>
          <w:color w:val="auto"/>
          <w:sz w:val="24"/>
        </w:rPr>
      </w:pPr>
      <w:r>
        <w:rPr>
          <w:rFonts w:ascii="宋体" w:hAnsi="宋体"/>
          <w:color w:val="auto"/>
          <w:sz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color w:val="auto"/>
          <w:sz w:val="24"/>
        </w:rPr>
      </w:pPr>
    </w:p>
    <w:p>
      <w:pPr>
        <w:adjustRightInd w:val="0"/>
        <w:snapToGrid w:val="0"/>
        <w:spacing w:line="360" w:lineRule="auto"/>
        <w:rPr>
          <w:rFonts w:ascii="宋体" w:hAnsi="宋体"/>
          <w:color w:val="auto"/>
          <w:sz w:val="24"/>
        </w:rPr>
      </w:pPr>
      <w:r>
        <w:rPr>
          <w:rFonts w:ascii="宋体" w:hAnsi="宋体"/>
          <w:color w:val="auto"/>
          <w:sz w:val="24"/>
        </w:rPr>
        <w:t>发包人(公章)：</w:t>
      </w:r>
      <w:r>
        <w:rPr>
          <w:rFonts w:ascii="宋体" w:hAnsi="宋体"/>
          <w:color w:val="auto"/>
          <w:sz w:val="24"/>
          <w:u w:val="single"/>
        </w:rPr>
        <w:t xml:space="preserve">  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承包人(公章)：</w:t>
      </w:r>
      <w:r>
        <w:rPr>
          <w:rFonts w:ascii="宋体" w:hAnsi="宋体"/>
          <w:color w:val="auto"/>
          <w:sz w:val="24"/>
          <w:u w:val="single"/>
        </w:rPr>
        <w:t></w:t>
      </w:r>
      <w:r>
        <w:rPr>
          <w:rFonts w:hint="eastAsia"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地  址：</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地  址：</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法定代表人(签字)：</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法定代表人(签字)：</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委托代理人(签字)：</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委托代理人(签字)：</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电  话：</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传  真：</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传  真：</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开户银行：</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开户银行：</w:t>
      </w:r>
      <w:r>
        <w:rPr>
          <w:rFonts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账  号：</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账</w:t>
      </w:r>
      <w:r>
        <w:rPr>
          <w:rFonts w:hint="eastAsia" w:ascii="宋体" w:hAnsi="宋体"/>
          <w:color w:val="auto"/>
          <w:sz w:val="24"/>
        </w:rPr>
        <w:t xml:space="preserve"> </w:t>
      </w:r>
      <w:r>
        <w:rPr>
          <w:rFonts w:ascii="宋体" w:hAnsi="宋体"/>
          <w:color w:val="auto"/>
          <w:sz w:val="24"/>
        </w:rPr>
        <w:t xml:space="preserve"> 号：</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adjustRightInd w:val="0"/>
        <w:snapToGrid w:val="0"/>
        <w:spacing w:line="360" w:lineRule="auto"/>
        <w:rPr>
          <w:rFonts w:ascii="宋体" w:hAnsi="宋体"/>
          <w:color w:val="auto"/>
          <w:sz w:val="24"/>
        </w:rPr>
      </w:pPr>
      <w:r>
        <w:rPr>
          <w:rFonts w:ascii="宋体" w:hAnsi="宋体"/>
          <w:color w:val="auto"/>
          <w:sz w:val="24"/>
        </w:rPr>
        <w:t>邮政编码：</w:t>
      </w:r>
      <w:r>
        <w:rPr>
          <w:rFonts w:ascii="宋体" w:hAnsi="宋体"/>
          <w:color w:val="auto"/>
          <w:sz w:val="24"/>
          <w:u w:val="single"/>
        </w:rPr>
        <w:t xml:space="preserve"> 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邮政编码：</w:t>
      </w:r>
      <w:r>
        <w:rPr>
          <w:rFonts w:ascii="宋体" w:hAnsi="宋体"/>
          <w:color w:val="auto"/>
          <w:sz w:val="24"/>
          <w:u w:val="single"/>
        </w:rPr>
        <w:t xml:space="preserve">   </w:t>
      </w:r>
      <w:r>
        <w:rPr>
          <w:rFonts w:ascii="宋体" w:hAnsi="宋体"/>
          <w:color w:val="auto"/>
          <w:sz w:val="24"/>
        </w:rPr>
        <w:t xml:space="preserve"> </w:t>
      </w:r>
    </w:p>
    <w:bookmarkEnd w:id="82"/>
    <w:p>
      <w:pPr>
        <w:adjustRightInd w:val="0"/>
        <w:snapToGrid w:val="0"/>
        <w:spacing w:line="360" w:lineRule="auto"/>
        <w:rPr>
          <w:rFonts w:ascii="宋体" w:hAnsi="宋体"/>
          <w:color w:val="auto"/>
          <w:sz w:val="24"/>
        </w:rPr>
      </w:pPr>
    </w:p>
    <w:p>
      <w:pPr>
        <w:rPr>
          <w:color w:val="auto"/>
        </w:rPr>
      </w:pPr>
    </w:p>
    <w:p>
      <w:pPr>
        <w:pStyle w:val="13"/>
        <w:jc w:val="center"/>
        <w:rPr>
          <w:rFonts w:asciiTheme="minorEastAsia" w:hAnsiTheme="minorEastAsia" w:eastAsiaTheme="minorEastAsia" w:cstheme="minorEastAsia"/>
          <w:color w:val="auto"/>
          <w:sz w:val="24"/>
          <w:szCs w:val="24"/>
        </w:rPr>
      </w:pPr>
    </w:p>
    <w:sectPr>
      <w:footerReference r:id="rId15" w:type="first"/>
      <w:footerReference r:id="rId14" w:type="default"/>
      <w:pgSz w:w="11906" w:h="16838"/>
      <w:pgMar w:top="1440" w:right="1803"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jc w:val="center"/>
    </w:pPr>
  </w:p>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39</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fldChar w:fldCharType="end"/>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l+6YP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dTSjRT2NH5+7fzj1/nn18JfCCotX6OvK1FZujemg7Jg9/DGefu&#10;KqfiFxMRxEH16Uqv6ALh8dJsMpvlCHHEhh/gZ4/XrfPhnTCKRKOgDvtLtLLjxoc+dUiJ1bRZN1Km&#10;HUpN2oJOX7/J04VrBOBSo0Ycom82WqHbdZfJdqY8YTBnem14y9cNim+YDw/MQQxoGAIP9zgqaVDE&#10;XCxKauO+POeP+dgRopS0EFdBNdRPiXyvsbuow8Fwg7EbDH1QtwZqHePhWJ5MXHBBDmbljPoM1a9i&#10;DYSY5qhU0DCYt6EXOF4NF6tVSoLaLAsbvbU8QkfyvF0dAghMvEZSeiYuXEFvaTOXtxEF/ed/ynp8&#10;w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ANl+6YPAgAACQ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eastAsia="宋体"/>
        <w:lang w:val="en-US" w:eastAsia="zh-CN"/>
      </w:rPr>
    </w:pPr>
    <w:r>
      <w:rPr>
        <w:rFonts w:hint="eastAsia"/>
        <w:lang w:val="en-US" w:eastAsia="zh-CN"/>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rPr>
    </w:pPr>
    <w:r>
      <w:rPr>
        <w:rFonts w:hint="eastAsia"/>
        <w:b/>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E29795"/>
    <w:multiLevelType w:val="singleLevel"/>
    <w:tmpl w:val="E4E29795"/>
    <w:lvl w:ilvl="0" w:tentative="0">
      <w:start w:val="6"/>
      <w:numFmt w:val="chineseCounting"/>
      <w:suff w:val="space"/>
      <w:lvlText w:val="%1、"/>
      <w:lvlJc w:val="left"/>
      <w:rPr>
        <w:rFonts w:hint="eastAsia"/>
      </w:rPr>
    </w:lvl>
  </w:abstractNum>
  <w:abstractNum w:abstractNumId="1">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49812687"/>
    <w:multiLevelType w:val="multilevel"/>
    <w:tmpl w:val="4981268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6D54CCB"/>
    <w:multiLevelType w:val="multilevel"/>
    <w:tmpl w:val="66D54CCB"/>
    <w:lvl w:ilvl="0" w:tentative="0">
      <w:start w:val="1"/>
      <w:numFmt w:val="decimal"/>
      <w:pStyle w:val="3"/>
      <w:lvlText w:val="%1  "/>
      <w:lvlJc w:val="left"/>
      <w:pPr>
        <w:tabs>
          <w:tab w:val="left" w:pos="1571"/>
        </w:tabs>
        <w:ind w:left="1283" w:hanging="432"/>
      </w:pPr>
      <w:rPr>
        <w:rFonts w:hint="eastAsia" w:ascii="黑体" w:eastAsia="黑体"/>
      </w:rPr>
    </w:lvl>
    <w:lvl w:ilvl="1" w:tentative="0">
      <w:start w:val="1"/>
      <w:numFmt w:val="decimal"/>
      <w:pStyle w:val="4"/>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86E77"/>
    <w:rsid w:val="000B375F"/>
    <w:rsid w:val="00227D5F"/>
    <w:rsid w:val="00284EA9"/>
    <w:rsid w:val="00295904"/>
    <w:rsid w:val="003026D3"/>
    <w:rsid w:val="00302D11"/>
    <w:rsid w:val="00314959"/>
    <w:rsid w:val="00395326"/>
    <w:rsid w:val="003A5F83"/>
    <w:rsid w:val="003B6A22"/>
    <w:rsid w:val="003F2121"/>
    <w:rsid w:val="00401981"/>
    <w:rsid w:val="00414F45"/>
    <w:rsid w:val="004543BC"/>
    <w:rsid w:val="004810F5"/>
    <w:rsid w:val="004F6C78"/>
    <w:rsid w:val="00535129"/>
    <w:rsid w:val="00536691"/>
    <w:rsid w:val="00562F65"/>
    <w:rsid w:val="006149C6"/>
    <w:rsid w:val="00632D57"/>
    <w:rsid w:val="006512D7"/>
    <w:rsid w:val="006B63F8"/>
    <w:rsid w:val="006B6842"/>
    <w:rsid w:val="00727A4F"/>
    <w:rsid w:val="007E0109"/>
    <w:rsid w:val="007F4117"/>
    <w:rsid w:val="00926140"/>
    <w:rsid w:val="00962276"/>
    <w:rsid w:val="00B26882"/>
    <w:rsid w:val="00B923CB"/>
    <w:rsid w:val="00BC7C13"/>
    <w:rsid w:val="00BE70F5"/>
    <w:rsid w:val="00CB2605"/>
    <w:rsid w:val="00CB44F7"/>
    <w:rsid w:val="00CC5B79"/>
    <w:rsid w:val="00D07AE5"/>
    <w:rsid w:val="00D41B35"/>
    <w:rsid w:val="00DA5C4B"/>
    <w:rsid w:val="00DF0324"/>
    <w:rsid w:val="00E62D83"/>
    <w:rsid w:val="00E81C7E"/>
    <w:rsid w:val="00E8488C"/>
    <w:rsid w:val="00ED15E0"/>
    <w:rsid w:val="00F76C2F"/>
    <w:rsid w:val="00F848A2"/>
    <w:rsid w:val="00F86E0E"/>
    <w:rsid w:val="00F90A83"/>
    <w:rsid w:val="025B3D7F"/>
    <w:rsid w:val="098630B5"/>
    <w:rsid w:val="0A9D1460"/>
    <w:rsid w:val="0AA20D0E"/>
    <w:rsid w:val="0F55436B"/>
    <w:rsid w:val="0FE95C05"/>
    <w:rsid w:val="147A66C1"/>
    <w:rsid w:val="14A53363"/>
    <w:rsid w:val="1695237F"/>
    <w:rsid w:val="16C949C7"/>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FF0912"/>
    <w:rsid w:val="2D0F65FB"/>
    <w:rsid w:val="2D611A3A"/>
    <w:rsid w:val="2F445C04"/>
    <w:rsid w:val="2F4938FB"/>
    <w:rsid w:val="30466E1C"/>
    <w:rsid w:val="305A78ED"/>
    <w:rsid w:val="308F2206"/>
    <w:rsid w:val="31ED41CC"/>
    <w:rsid w:val="31FB787A"/>
    <w:rsid w:val="33104BD6"/>
    <w:rsid w:val="386D5125"/>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BB32626"/>
    <w:rsid w:val="4D474E57"/>
    <w:rsid w:val="4E2613B4"/>
    <w:rsid w:val="4F384438"/>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DA7CFF"/>
    <w:rsid w:val="63D7285F"/>
    <w:rsid w:val="648C055B"/>
    <w:rsid w:val="656C6FEE"/>
    <w:rsid w:val="66BB5298"/>
    <w:rsid w:val="698A553B"/>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4">
    <w:name w:val="heading 2"/>
    <w:basedOn w:val="1"/>
    <w:next w:val="1"/>
    <w:qFormat/>
    <w:uiPriority w:val="0"/>
    <w:pPr>
      <w:keepNext/>
      <w:keepLines/>
      <w:numPr>
        <w:ilvl w:val="1"/>
        <w:numId w:val="1"/>
      </w:numPr>
      <w:spacing w:before="50"/>
      <w:jc w:val="left"/>
      <w:outlineLvl w:val="1"/>
    </w:pPr>
    <w:rPr>
      <w:rFonts w:ascii="Arial" w:hAnsi="Arial" w:eastAsia="黑体"/>
      <w:kern w:val="0"/>
      <w:sz w:val="32"/>
      <w:szCs w:val="20"/>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libri" w:hAnsi="Calibri" w:eastAsia="楷体_GB2312"/>
      <w:b/>
      <w:bCs/>
      <w:kern w:val="0"/>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7">
    <w:name w:val="Normal Indent"/>
    <w:basedOn w:val="1"/>
    <w:qFormat/>
    <w:uiPriority w:val="99"/>
    <w:pPr>
      <w:ind w:firstLine="420" w:firstLineChars="200"/>
    </w:pPr>
    <w:rPr>
      <w:rFonts w:ascii="Calibri" w:hAnsi="Calibri"/>
      <w:kern w:val="0"/>
      <w:sz w:val="24"/>
      <w:szCs w:val="20"/>
    </w:rPr>
  </w:style>
  <w:style w:type="paragraph" w:styleId="8">
    <w:name w:val="Plain Text"/>
    <w:basedOn w:val="1"/>
    <w:qFormat/>
    <w:uiPriority w:val="0"/>
    <w:rPr>
      <w:rFonts w:ascii="宋体"/>
      <w:kern w:val="0"/>
      <w:sz w:val="20"/>
      <w:szCs w:val="20"/>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2"/>
    <w:qFormat/>
    <w:uiPriority w:val="0"/>
    <w:pPr>
      <w:ind w:firstLine="420"/>
    </w:pPr>
    <w:rPr>
      <w:szCs w:val="20"/>
    </w:rPr>
  </w:style>
  <w:style w:type="character" w:styleId="16">
    <w:name w:val="Hyperlink"/>
    <w:basedOn w:val="15"/>
    <w:qFormat/>
    <w:uiPriority w:val="0"/>
    <w:rPr>
      <w:color w:val="0000FF"/>
      <w:u w:val="single"/>
    </w:rPr>
  </w:style>
  <w:style w:type="paragraph" w:customStyle="1" w:styleId="17">
    <w:name w:val="Í¼±íÕýÎÄ"/>
    <w:basedOn w:val="1"/>
    <w:next w:val="7"/>
    <w:qFormat/>
    <w:uiPriority w:val="0"/>
    <w:pPr>
      <w:ind w:firstLine="420" w:firstLineChars="200"/>
    </w:pPr>
    <w:rPr>
      <w:sz w:val="24"/>
      <w:szCs w:val="20"/>
    </w:rPr>
  </w:style>
  <w:style w:type="paragraph" w:customStyle="1" w:styleId="18">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19">
    <w:name w:val="Body text|1"/>
    <w:basedOn w:val="1"/>
    <w:qFormat/>
    <w:uiPriority w:val="0"/>
    <w:pPr>
      <w:ind w:firstLine="170"/>
    </w:pPr>
    <w:rPr>
      <w:rFonts w:ascii="宋体" w:hAnsi="宋体" w:cs="宋体"/>
      <w:sz w:val="26"/>
      <w:szCs w:val="26"/>
      <w:lang w:val="zh-TW" w:eastAsia="zh-TW" w:bidi="zh-TW"/>
    </w:rPr>
  </w:style>
  <w:style w:type="paragraph" w:customStyle="1" w:styleId="20">
    <w:name w:val="Header or footer|1"/>
    <w:basedOn w:val="1"/>
    <w:qFormat/>
    <w:uiPriority w:val="0"/>
    <w:rPr>
      <w:lang w:val="zh-TW" w:eastAsia="zh-TW" w:bidi="zh-TW"/>
    </w:rPr>
  </w:style>
  <w:style w:type="paragraph" w:customStyle="1" w:styleId="21">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3679</Words>
  <Characters>20974</Characters>
  <Lines>174</Lines>
  <Paragraphs>49</Paragraphs>
  <TotalTime>29</TotalTime>
  <ScaleCrop>false</ScaleCrop>
  <LinksUpToDate>false</LinksUpToDate>
  <CharactersWithSpaces>24604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2020-10-25T06:36:00Z</dcterms:created>
  <dc:creator>黎诺</dc:creator>
  <cp:lastModifiedBy>Administrator</cp:lastModifiedBy>
  <cp:lastPrinted>2021-03-21T07:17:00Z</cp:lastPrinted>
  <dcterms:modified xsi:type="dcterms:W3CDTF">2021-03-22T12:23:05Z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