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宋体" w:hAnsi="宋体" w:cs="宋体"/>
          <w:b/>
          <w:bCs/>
          <w:sz w:val="56"/>
          <w:szCs w:val="56"/>
        </w:rPr>
      </w:pPr>
      <w:bookmarkStart w:id="0" w:name="_Toc35393789"/>
      <w:bookmarkStart w:id="1" w:name="_Toc28359001"/>
      <w:bookmarkStart w:id="2" w:name="_Toc10464680"/>
      <w:bookmarkStart w:id="3" w:name="_Toc24552"/>
      <w:bookmarkStart w:id="4" w:name="_Toc288738330"/>
      <w:bookmarkStart w:id="5" w:name="_Toc288738798"/>
      <w:bookmarkStart w:id="6" w:name="_Toc31405"/>
      <w:bookmarkStart w:id="7" w:name="_Toc10464681"/>
      <w:bookmarkStart w:id="8" w:name="_Toc25873"/>
      <w:bookmarkStart w:id="9" w:name="_Toc288738804"/>
      <w:bookmarkStart w:id="10" w:name="_Toc10464682"/>
      <w:bookmarkStart w:id="11" w:name="_Toc288738336"/>
      <w:bookmarkStart w:id="12" w:name="_Toc288738808"/>
      <w:bookmarkStart w:id="13" w:name="_Toc19194"/>
      <w:bookmarkStart w:id="14" w:name="_Toc10464683"/>
      <w:bookmarkStart w:id="15" w:name="_Toc288738340"/>
      <w:bookmarkStart w:id="16" w:name="_Toc288738343"/>
      <w:bookmarkStart w:id="17" w:name="_Toc27248"/>
      <w:bookmarkStart w:id="18" w:name="_Toc288738811"/>
      <w:bookmarkStart w:id="19" w:name="_Toc10464684"/>
      <w:bookmarkStart w:id="20" w:name="_Toc5935"/>
      <w:bookmarkStart w:id="21" w:name="_Toc288738833"/>
      <w:bookmarkStart w:id="22" w:name="_Toc288767601"/>
      <w:bookmarkStart w:id="23" w:name="_Toc288738391"/>
      <w:bookmarkStart w:id="24" w:name="_Toc10464685"/>
      <w:bookmarkStart w:id="25" w:name="_Toc10464686"/>
      <w:bookmarkStart w:id="26" w:name="_Toc10464687"/>
    </w:p>
    <w:p>
      <w:pPr>
        <w:jc w:val="distribute"/>
        <w:rPr>
          <w:rFonts w:ascii="宋体" w:hAnsi="宋体" w:cs="宋体"/>
          <w:b/>
          <w:bCs/>
          <w:sz w:val="56"/>
          <w:szCs w:val="56"/>
        </w:rPr>
      </w:pPr>
    </w:p>
    <w:p>
      <w:pPr>
        <w:pStyle w:val="3"/>
        <w:jc w:val="distribute"/>
        <w:rPr>
          <w:lang w:val="zh-CN"/>
        </w:rPr>
      </w:pPr>
      <w:r>
        <w:rPr>
          <w:rFonts w:hint="eastAsia" w:ascii="宋体" w:hAnsi="宋体" w:cs="宋体"/>
          <w:b/>
          <w:bCs/>
          <w:sz w:val="56"/>
          <w:szCs w:val="56"/>
        </w:rPr>
        <w:t>新堂路金碧辉园</w:t>
      </w:r>
      <w:r>
        <w:rPr>
          <w:rFonts w:hint="eastAsia" w:ascii="宋体" w:hAnsi="宋体" w:cs="宋体"/>
          <w:b/>
          <w:bCs/>
          <w:sz w:val="56"/>
          <w:szCs w:val="56"/>
          <w:lang w:val="en-US" w:eastAsia="zh-CN"/>
        </w:rPr>
        <w:t>区</w:t>
      </w:r>
      <w:r>
        <w:rPr>
          <w:rFonts w:hint="eastAsia" w:ascii="宋体" w:hAnsi="宋体" w:cs="宋体"/>
          <w:b/>
          <w:bCs/>
          <w:sz w:val="56"/>
          <w:szCs w:val="56"/>
        </w:rPr>
        <w:t>改造</w:t>
      </w:r>
    </w:p>
    <w:p>
      <w:pPr>
        <w:autoSpaceDE w:val="0"/>
        <w:autoSpaceDN w:val="0"/>
        <w:jc w:val="center"/>
        <w:rPr>
          <w:rFonts w:ascii="宋体" w:hAnsi="宋体"/>
          <w:b/>
          <w:sz w:val="56"/>
          <w:szCs w:val="36"/>
        </w:rPr>
      </w:pPr>
    </w:p>
    <w:p>
      <w:pPr>
        <w:autoSpaceDE w:val="0"/>
        <w:autoSpaceDN w:val="0"/>
        <w:jc w:val="center"/>
        <w:rPr>
          <w:rFonts w:ascii="宋体" w:hAnsi="宋体"/>
          <w:b/>
          <w:sz w:val="56"/>
          <w:szCs w:val="36"/>
          <w:lang w:val="zh-CN"/>
        </w:rPr>
      </w:pPr>
      <w:r>
        <w:rPr>
          <w:rFonts w:hint="eastAsia" w:ascii="宋体" w:hAnsi="宋体"/>
          <w:b/>
          <w:sz w:val="56"/>
          <w:szCs w:val="36"/>
        </w:rPr>
        <w:t>竞  争  性  磋  商</w:t>
      </w:r>
      <w:r>
        <w:rPr>
          <w:rFonts w:hint="eastAsia" w:ascii="宋体" w:hAnsi="宋体"/>
          <w:b/>
          <w:sz w:val="56"/>
          <w:szCs w:val="36"/>
          <w:lang w:val="zh-CN"/>
        </w:rPr>
        <w:t xml:space="preserve"> 文 件</w:t>
      </w:r>
    </w:p>
    <w:p>
      <w:pPr>
        <w:autoSpaceDE w:val="0"/>
        <w:autoSpaceDN w:val="0"/>
        <w:jc w:val="center"/>
        <w:rPr>
          <w:rFonts w:ascii="黑体" w:eastAsia="黑体"/>
          <w:b/>
          <w:sz w:val="32"/>
          <w:lang w:val="zh-CN"/>
        </w:rPr>
      </w:pPr>
    </w:p>
    <w:p>
      <w:pPr>
        <w:autoSpaceDE w:val="0"/>
        <w:autoSpaceDN w:val="0"/>
        <w:rPr>
          <w:rFonts w:ascii="黑体" w:eastAsia="黑体"/>
          <w:b/>
          <w:sz w:val="32"/>
          <w:lang w:val="zh-CN"/>
        </w:rPr>
      </w:pPr>
    </w:p>
    <w:p>
      <w:pPr>
        <w:autoSpaceDE w:val="0"/>
        <w:autoSpaceDN w:val="0"/>
        <w:jc w:val="center"/>
        <w:rPr>
          <w:rFonts w:ascii="黑体" w:eastAsia="黑体"/>
          <w:b/>
          <w:sz w:val="32"/>
          <w:lang w:val="zh-CN"/>
        </w:rPr>
      </w:pPr>
    </w:p>
    <w:p>
      <w:pPr>
        <w:autoSpaceDE w:val="0"/>
        <w:autoSpaceDN w:val="0"/>
        <w:jc w:val="center"/>
        <w:rPr>
          <w:rFonts w:ascii="黑体" w:eastAsia="黑体"/>
          <w:b/>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宋体" w:hAnsi="宋体" w:cs="宋体"/>
          <w:b/>
          <w:color w:val="000000" w:themeColor="text1"/>
          <w:sz w:val="32"/>
          <w:lang w:val="zh-CN"/>
          <w14:textFill>
            <w14:solidFill>
              <w14:schemeClr w14:val="tx1"/>
            </w14:solidFill>
          </w14:textFill>
        </w:rPr>
      </w:pPr>
    </w:p>
    <w:p>
      <w:pPr>
        <w:pStyle w:val="2"/>
        <w:rPr>
          <w:rFonts w:ascii="宋体" w:hAnsi="宋体" w:cs="宋体"/>
          <w:b/>
          <w:color w:val="000000" w:themeColor="text1"/>
          <w:sz w:val="32"/>
          <w:lang w:val="zh-CN"/>
          <w14:textFill>
            <w14:solidFill>
              <w14:schemeClr w14:val="tx1"/>
            </w14:solidFill>
          </w14:textFill>
        </w:rPr>
      </w:pPr>
    </w:p>
    <w:p>
      <w:pPr>
        <w:pStyle w:val="2"/>
        <w:rPr>
          <w:rFonts w:ascii="宋体" w:hAnsi="宋体" w:cs="宋体"/>
          <w:b/>
          <w:color w:val="000000" w:themeColor="text1"/>
          <w:sz w:val="32"/>
          <w:lang w:val="zh-CN"/>
          <w14:textFill>
            <w14:solidFill>
              <w14:schemeClr w14:val="tx1"/>
            </w14:solidFill>
          </w14:textFill>
        </w:rPr>
      </w:pPr>
    </w:p>
    <w:p>
      <w:pPr>
        <w:pStyle w:val="2"/>
        <w:rPr>
          <w:rFonts w:ascii="宋体" w:hAnsi="宋体" w:cs="宋体"/>
          <w:b/>
          <w:color w:val="000000" w:themeColor="text1"/>
          <w:sz w:val="32"/>
          <w:lang w:val="zh-CN"/>
          <w14:textFill>
            <w14:solidFill>
              <w14:schemeClr w14:val="tx1"/>
            </w14:solidFill>
          </w14:textFill>
        </w:rPr>
      </w:pPr>
    </w:p>
    <w:p>
      <w:pPr>
        <w:pStyle w:val="2"/>
        <w:rPr>
          <w:rFonts w:ascii="宋体" w:hAnsi="宋体" w:cs="宋体"/>
          <w:b/>
          <w:color w:val="000000" w:themeColor="text1"/>
          <w:sz w:val="32"/>
          <w:lang w:val="zh-CN"/>
          <w14:textFill>
            <w14:solidFill>
              <w14:schemeClr w14:val="tx1"/>
            </w14:solidFill>
          </w14:textFill>
        </w:rPr>
      </w:pPr>
    </w:p>
    <w:p>
      <w:pPr>
        <w:tabs>
          <w:tab w:val="left" w:pos="567"/>
          <w:tab w:val="left" w:pos="851"/>
          <w:tab w:val="left" w:pos="1134"/>
        </w:tabs>
        <w:autoSpaceDE w:val="0"/>
        <w:autoSpaceDN w:val="0"/>
        <w:spacing w:line="360" w:lineRule="auto"/>
        <w:ind w:firstLine="643" w:firstLineChars="200"/>
        <w:jc w:val="left"/>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lang w:val="zh-CN"/>
          <w14:textFill>
            <w14:solidFill>
              <w14:schemeClr w14:val="tx1"/>
            </w14:solidFill>
          </w14:textFill>
        </w:rPr>
        <w:t>采购项目编号：</w:t>
      </w:r>
      <w:r>
        <w:rPr>
          <w:rFonts w:hint="eastAsia" w:ascii="宋体" w:hAnsi="宋体" w:cs="宋体"/>
          <w:b/>
          <w:color w:val="000000" w:themeColor="text1"/>
          <w:sz w:val="32"/>
          <w14:textFill>
            <w14:solidFill>
              <w14:schemeClr w14:val="tx1"/>
            </w14:solidFill>
          </w14:textFill>
        </w:rPr>
        <w:t>CY-CS-2022005</w:t>
      </w:r>
    </w:p>
    <w:p>
      <w:pPr>
        <w:tabs>
          <w:tab w:val="left" w:pos="567"/>
          <w:tab w:val="left" w:pos="851"/>
          <w:tab w:val="left" w:pos="1134"/>
        </w:tabs>
        <w:autoSpaceDE w:val="0"/>
        <w:autoSpaceDN w:val="0"/>
        <w:spacing w:line="360" w:lineRule="auto"/>
        <w:ind w:firstLine="643" w:firstLineChars="200"/>
        <w:jc w:val="left"/>
        <w:rPr>
          <w:rFonts w:ascii="宋体" w:hAnsi="宋体" w:cs="宋体"/>
          <w:b/>
          <w:sz w:val="32"/>
        </w:rPr>
      </w:pPr>
      <w:r>
        <w:rPr>
          <w:rFonts w:hint="eastAsia" w:ascii="宋体" w:hAnsi="宋体" w:cs="宋体"/>
          <w:b/>
          <w:sz w:val="32"/>
          <w:lang w:val="zh-CN"/>
        </w:rPr>
        <w:t>采购项目方式：</w:t>
      </w:r>
      <w:r>
        <w:rPr>
          <w:rFonts w:hint="eastAsia" w:ascii="宋体" w:hAnsi="宋体" w:cs="宋体"/>
          <w:b/>
          <w:sz w:val="32"/>
        </w:rPr>
        <w:t>竞争性磋商</w:t>
      </w:r>
    </w:p>
    <w:p>
      <w:pPr>
        <w:tabs>
          <w:tab w:val="left" w:pos="567"/>
          <w:tab w:val="left" w:pos="851"/>
          <w:tab w:val="left" w:pos="1134"/>
        </w:tabs>
        <w:autoSpaceDE w:val="0"/>
        <w:autoSpaceDN w:val="0"/>
        <w:spacing w:line="360" w:lineRule="auto"/>
        <w:ind w:firstLine="643" w:firstLineChars="200"/>
        <w:jc w:val="left"/>
        <w:rPr>
          <w:rFonts w:ascii="宋体" w:hAnsi="宋体" w:cs="宋体"/>
          <w:b/>
          <w:sz w:val="32"/>
        </w:rPr>
      </w:pPr>
      <w:r>
        <w:rPr>
          <w:rFonts w:hint="eastAsia" w:ascii="宋体" w:hAnsi="宋体" w:cs="宋体"/>
          <w:b/>
          <w:sz w:val="32"/>
          <w:lang w:val="zh-CN"/>
        </w:rPr>
        <w:t>采购项目名称：</w:t>
      </w:r>
      <w:r>
        <w:rPr>
          <w:rFonts w:hint="eastAsia" w:ascii="宋体" w:hAnsi="宋体" w:cs="宋体"/>
          <w:b/>
          <w:sz w:val="32"/>
        </w:rPr>
        <w:t>新堂路金碧辉园</w:t>
      </w:r>
      <w:r>
        <w:rPr>
          <w:rFonts w:hint="eastAsia" w:ascii="宋体" w:hAnsi="宋体" w:cs="宋体"/>
          <w:b/>
          <w:sz w:val="32"/>
          <w:lang w:val="en-US" w:eastAsia="zh-CN"/>
        </w:rPr>
        <w:t>区</w:t>
      </w:r>
      <w:r>
        <w:rPr>
          <w:rFonts w:hint="eastAsia" w:ascii="宋体" w:hAnsi="宋体" w:cs="宋体"/>
          <w:b/>
          <w:sz w:val="32"/>
        </w:rPr>
        <w:t>改造</w:t>
      </w:r>
    </w:p>
    <w:p>
      <w:pPr>
        <w:tabs>
          <w:tab w:val="left" w:pos="567"/>
          <w:tab w:val="left" w:pos="851"/>
          <w:tab w:val="left" w:pos="1134"/>
        </w:tabs>
        <w:autoSpaceDE w:val="0"/>
        <w:autoSpaceDN w:val="0"/>
        <w:spacing w:line="360" w:lineRule="auto"/>
        <w:ind w:firstLine="643" w:firstLineChars="200"/>
        <w:jc w:val="left"/>
        <w:rPr>
          <w:rFonts w:hint="eastAsia" w:ascii="宋体" w:hAnsi="宋体" w:cs="宋体"/>
          <w:b/>
          <w:sz w:val="32"/>
          <w:lang w:val="zh-CN"/>
        </w:rPr>
      </w:pPr>
      <w:r>
        <w:rPr>
          <w:rFonts w:hint="eastAsia" w:ascii="宋体" w:hAnsi="宋体" w:cs="宋体"/>
          <w:b/>
          <w:sz w:val="32"/>
          <w:lang w:val="zh-CN"/>
        </w:rPr>
        <w:t>采   购  人 ：常州市天宁区青龙街道勤业村股份经济</w:t>
      </w:r>
    </w:p>
    <w:p>
      <w:pPr>
        <w:tabs>
          <w:tab w:val="left" w:pos="567"/>
          <w:tab w:val="left" w:pos="851"/>
          <w:tab w:val="left" w:pos="1134"/>
        </w:tabs>
        <w:autoSpaceDE w:val="0"/>
        <w:autoSpaceDN w:val="0"/>
        <w:spacing w:line="360" w:lineRule="auto"/>
        <w:ind w:firstLine="2891" w:firstLineChars="900"/>
        <w:jc w:val="left"/>
        <w:rPr>
          <w:rFonts w:ascii="宋体" w:hAnsi="宋体" w:cs="宋体"/>
          <w:b/>
          <w:bCs/>
          <w:kern w:val="24"/>
          <w:sz w:val="32"/>
        </w:rPr>
      </w:pPr>
      <w:r>
        <w:rPr>
          <w:rFonts w:hint="eastAsia" w:ascii="宋体" w:hAnsi="宋体" w:cs="宋体"/>
          <w:b/>
          <w:sz w:val="32"/>
          <w:lang w:val="zh-CN"/>
        </w:rPr>
        <w:t>合作社</w:t>
      </w:r>
      <w:r>
        <w:rPr>
          <w:rFonts w:ascii="宋体" w:hAnsi="宋体" w:cs="宋体"/>
          <w:b/>
          <w:sz w:val="32"/>
          <w:lang w:val="zh-CN"/>
        </w:rPr>
        <w:t xml:space="preserve"> </w:t>
      </w:r>
      <w:r>
        <w:rPr>
          <w:rFonts w:hint="eastAsia" w:ascii="宋体" w:hAnsi="宋体" w:cs="宋体"/>
          <w:b/>
          <w:sz w:val="32"/>
          <w:lang w:val="zh-CN"/>
        </w:rPr>
        <w:t>（单位盖章）</w:t>
      </w:r>
    </w:p>
    <w:p>
      <w:pPr>
        <w:tabs>
          <w:tab w:val="left" w:pos="567"/>
          <w:tab w:val="left" w:pos="851"/>
          <w:tab w:val="left" w:pos="1134"/>
        </w:tabs>
        <w:autoSpaceDE w:val="0"/>
        <w:autoSpaceDN w:val="0"/>
        <w:spacing w:line="360" w:lineRule="auto"/>
        <w:ind w:firstLine="643" w:firstLineChars="200"/>
        <w:jc w:val="left"/>
        <w:rPr>
          <w:rFonts w:ascii="宋体" w:hAnsi="宋体" w:cs="宋体"/>
          <w:b/>
          <w:sz w:val="32"/>
          <w:lang w:val="zh-CN"/>
        </w:rPr>
      </w:pPr>
      <w:r>
        <w:rPr>
          <w:rFonts w:hint="eastAsia" w:ascii="宋体" w:hAnsi="宋体" w:cs="宋体"/>
          <w:b/>
          <w:sz w:val="32"/>
          <w:lang w:val="zh-CN"/>
        </w:rPr>
        <w:t>代 理 公 司：江苏畅誉项目管理有限公司（单位盖章）</w:t>
      </w:r>
    </w:p>
    <w:p>
      <w:pPr>
        <w:pageBreakBefore/>
        <w:snapToGrid w:val="0"/>
        <w:spacing w:line="360" w:lineRule="auto"/>
        <w:jc w:val="center"/>
        <w:rPr>
          <w:rFonts w:ascii="宋体" w:hAnsi="宋体" w:cs="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559" w:header="851" w:footer="992" w:gutter="0"/>
          <w:pgNumType w:start="0"/>
          <w:cols w:space="720" w:num="1"/>
          <w:titlePg/>
          <w:docGrid w:linePitch="312" w:charSpace="0"/>
        </w:sectPr>
      </w:pPr>
    </w:p>
    <w:p>
      <w:pPr>
        <w:pageBreakBefore/>
        <w:snapToGrid w:val="0"/>
        <w:spacing w:line="360" w:lineRule="auto"/>
        <w:jc w:val="center"/>
        <w:rPr>
          <w:rFonts w:ascii="宋体" w:hAnsi="宋体" w:cs="宋体"/>
          <w:b/>
          <w:sz w:val="36"/>
          <w:szCs w:val="36"/>
        </w:rPr>
      </w:pPr>
      <w:r>
        <w:rPr>
          <w:rFonts w:hint="eastAsia" w:ascii="宋体" w:hAnsi="宋体" w:cs="黑体"/>
          <w:b/>
          <w:sz w:val="36"/>
          <w:szCs w:val="36"/>
        </w:rPr>
        <w:t>投标人须知</w:t>
      </w:r>
    </w:p>
    <w:tbl>
      <w:tblPr>
        <w:tblStyle w:val="20"/>
        <w:tblW w:w="85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531"/>
        <w:gridCol w:w="79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75"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项号</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0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auto"/>
                <w:spacing w:val="2"/>
                <w:sz w:val="24"/>
                <w:lang w:val="zh-CN"/>
              </w:rPr>
            </w:pPr>
            <w:r>
              <w:rPr>
                <w:rFonts w:hint="eastAsia" w:ascii="宋体" w:hAnsi="宋体" w:cs="宋体"/>
                <w:color w:val="auto"/>
                <w:spacing w:val="2"/>
                <w:sz w:val="24"/>
                <w:lang w:val="zh-CN"/>
              </w:rPr>
              <w:t>1</w:t>
            </w:r>
          </w:p>
        </w:tc>
        <w:tc>
          <w:tcPr>
            <w:tcW w:w="7984" w:type="dxa"/>
            <w:tcBorders>
              <w:top w:val="single" w:color="auto" w:sz="4" w:space="0"/>
              <w:left w:val="single" w:color="auto" w:sz="4" w:space="0"/>
              <w:bottom w:val="single" w:color="auto" w:sz="4" w:space="0"/>
            </w:tcBorders>
            <w:vAlign w:val="center"/>
          </w:tcPr>
          <w:p>
            <w:pPr>
              <w:snapToGrid w:val="0"/>
              <w:rPr>
                <w:rFonts w:ascii="宋体" w:hAnsi="宋体" w:cs="宋体"/>
                <w:color w:val="auto"/>
                <w:spacing w:val="2"/>
                <w:sz w:val="24"/>
                <w:u w:val="single"/>
                <w:lang w:val="zh-CN"/>
              </w:rPr>
            </w:pPr>
            <w:r>
              <w:rPr>
                <w:rFonts w:hint="eastAsia" w:ascii="宋体" w:hAnsi="宋体" w:cs="宋体"/>
                <w:color w:val="auto"/>
                <w:spacing w:val="2"/>
                <w:sz w:val="24"/>
                <w:lang w:val="zh-CN"/>
              </w:rPr>
              <w:t>项目名称：</w:t>
            </w:r>
            <w:r>
              <w:rPr>
                <w:rFonts w:hint="eastAsia" w:ascii="宋体" w:hAnsi="宋体" w:cs="宋体"/>
                <w:color w:val="auto"/>
                <w:spacing w:val="2"/>
                <w:sz w:val="24"/>
                <w:u w:val="single"/>
                <w:lang w:val="zh-CN"/>
              </w:rPr>
              <w:t>新堂路金碧辉园区改造</w:t>
            </w:r>
          </w:p>
          <w:p>
            <w:pPr>
              <w:snapToGrid w:val="0"/>
              <w:rPr>
                <w:rFonts w:ascii="宋体" w:hAnsi="宋体" w:cs="宋体"/>
                <w:color w:val="auto"/>
                <w:spacing w:val="2"/>
                <w:sz w:val="24"/>
              </w:rPr>
            </w:pPr>
            <w:r>
              <w:rPr>
                <w:rFonts w:hint="eastAsia" w:ascii="宋体" w:hAnsi="宋体" w:cs="宋体"/>
                <w:color w:val="auto"/>
                <w:spacing w:val="2"/>
                <w:sz w:val="24"/>
                <w:lang w:val="zh-CN"/>
              </w:rPr>
              <w:t>项目编号：</w:t>
            </w:r>
            <w:r>
              <w:rPr>
                <w:rFonts w:hint="eastAsia" w:ascii="宋体" w:hAnsi="宋体" w:cs="宋体"/>
                <w:color w:val="auto"/>
                <w:spacing w:val="2"/>
                <w:sz w:val="24"/>
                <w:u w:val="single"/>
              </w:rPr>
              <w:t>CY-CS-2022005</w:t>
            </w:r>
            <w:r>
              <w:rPr>
                <w:rFonts w:hint="eastAsia" w:ascii="宋体" w:hAnsi="宋体" w:cs="宋体"/>
                <w:color w:val="auto"/>
                <w:spacing w:val="2"/>
                <w:sz w:val="24"/>
              </w:rPr>
              <w:t xml:space="preserve"> </w:t>
            </w:r>
          </w:p>
          <w:p>
            <w:pPr>
              <w:snapToGrid w:val="0"/>
              <w:rPr>
                <w:rFonts w:hint="eastAsia" w:ascii="宋体" w:hAnsi="宋体" w:eastAsia="宋体" w:cs="宋体"/>
                <w:color w:val="auto"/>
                <w:spacing w:val="2"/>
                <w:sz w:val="24"/>
                <w:lang w:val="en-US" w:eastAsia="zh-CN"/>
              </w:rPr>
            </w:pPr>
            <w:r>
              <w:rPr>
                <w:rFonts w:hint="eastAsia" w:ascii="宋体" w:hAnsi="宋体" w:cs="宋体"/>
                <w:color w:val="auto"/>
                <w:spacing w:val="2"/>
                <w:sz w:val="24"/>
              </w:rPr>
              <w:t>预算金额：</w:t>
            </w:r>
            <w:r>
              <w:rPr>
                <w:rFonts w:hint="eastAsia" w:ascii="宋体" w:hAnsi="宋体" w:cs="宋体"/>
                <w:color w:val="auto"/>
                <w:spacing w:val="2"/>
                <w:sz w:val="24"/>
                <w:u w:val="single"/>
              </w:rPr>
              <w:t xml:space="preserve"> 287858.75元</w:t>
            </w:r>
          </w:p>
          <w:p>
            <w:pPr>
              <w:snapToGrid w:val="0"/>
              <w:rPr>
                <w:rFonts w:ascii="宋体" w:hAnsi="宋体" w:cs="宋体"/>
                <w:color w:val="auto"/>
                <w:spacing w:val="2"/>
                <w:sz w:val="24"/>
              </w:rPr>
            </w:pPr>
            <w:r>
              <w:rPr>
                <w:rFonts w:hint="eastAsia" w:ascii="宋体" w:hAnsi="宋体" w:cs="宋体"/>
                <w:color w:val="auto"/>
                <w:spacing w:val="2"/>
                <w:sz w:val="24"/>
                <w:lang w:val="zh-CN"/>
              </w:rPr>
              <w:t>最高限价：</w:t>
            </w:r>
            <w:r>
              <w:rPr>
                <w:rFonts w:hint="eastAsia" w:ascii="宋体" w:hAnsi="宋体" w:cs="宋体"/>
                <w:color w:val="auto"/>
                <w:spacing w:val="2"/>
                <w:sz w:val="24"/>
                <w:u w:val="single"/>
              </w:rPr>
              <w:t xml:space="preserve"> 287858.75元</w:t>
            </w:r>
          </w:p>
          <w:p>
            <w:pPr>
              <w:snapToGrid w:val="0"/>
              <w:rPr>
                <w:rFonts w:ascii="宋体" w:hAnsi="宋体" w:cs="宋体"/>
                <w:color w:val="auto"/>
                <w:spacing w:val="2"/>
                <w:sz w:val="24"/>
                <w:u w:val="single"/>
                <w:lang w:val="zh-CN"/>
              </w:rPr>
            </w:pPr>
            <w:r>
              <w:rPr>
                <w:rFonts w:hint="eastAsia" w:ascii="宋体" w:hAnsi="宋体" w:cs="宋体"/>
                <w:color w:val="auto"/>
                <w:spacing w:val="2"/>
                <w:sz w:val="24"/>
                <w:lang w:val="zh-CN"/>
              </w:rPr>
              <w:t>质保期：</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val="en-US" w:eastAsia="zh-CN"/>
              </w:rPr>
              <w:t>2</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val="zh-CN"/>
              </w:rPr>
              <w:t>年</w:t>
            </w:r>
          </w:p>
          <w:p>
            <w:pPr>
              <w:snapToGrid w:val="0"/>
              <w:rPr>
                <w:rFonts w:ascii="宋体" w:hAnsi="宋体" w:cs="宋体"/>
                <w:color w:val="auto"/>
                <w:spacing w:val="2"/>
                <w:sz w:val="24"/>
                <w:u w:val="single"/>
              </w:rPr>
            </w:pPr>
            <w:r>
              <w:rPr>
                <w:rFonts w:hint="eastAsia" w:ascii="宋体" w:hAnsi="宋体" w:cs="宋体"/>
                <w:color w:val="auto"/>
                <w:spacing w:val="2"/>
                <w:sz w:val="24"/>
                <w:lang w:val="zh-CN"/>
              </w:rPr>
              <w:t>工期要求：</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val="en-US" w:eastAsia="zh-CN"/>
              </w:rPr>
              <w:t>45</w:t>
            </w:r>
            <w:r>
              <w:rPr>
                <w:rFonts w:hint="eastAsia" w:ascii="宋体" w:hAnsi="宋体" w:cs="宋体"/>
                <w:color w:val="auto"/>
                <w:spacing w:val="2"/>
                <w:sz w:val="24"/>
                <w:u w:val="single"/>
              </w:rPr>
              <w:t xml:space="preserve">  天</w:t>
            </w:r>
          </w:p>
          <w:p>
            <w:pPr>
              <w:snapToGrid w:val="0"/>
              <w:rPr>
                <w:color w:val="auto"/>
              </w:rPr>
            </w:pPr>
            <w:r>
              <w:rPr>
                <w:rFonts w:hint="eastAsia" w:ascii="宋体" w:hAnsi="宋体" w:cs="宋体"/>
                <w:color w:val="auto"/>
                <w:spacing w:val="2"/>
                <w:sz w:val="24"/>
                <w:lang w:val="zh-CN"/>
              </w:rPr>
              <w:t>质量要求：</w:t>
            </w:r>
            <w:r>
              <w:rPr>
                <w:rFonts w:hint="eastAsia" w:ascii="宋体" w:hAnsi="宋体" w:cs="宋体"/>
                <w:color w:val="auto"/>
                <w:spacing w:val="2"/>
                <w:sz w:val="24"/>
                <w:u w:val="single"/>
                <w:lang w:val="zh-CN"/>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2</w:t>
            </w:r>
          </w:p>
        </w:tc>
        <w:tc>
          <w:tcPr>
            <w:tcW w:w="7984" w:type="dxa"/>
            <w:tcBorders>
              <w:top w:val="single" w:color="auto" w:sz="4" w:space="0"/>
              <w:left w:val="single" w:color="auto" w:sz="4" w:space="0"/>
              <w:bottom w:val="single" w:color="auto" w:sz="4" w:space="0"/>
            </w:tcBorders>
            <w:vAlign w:val="center"/>
          </w:tcPr>
          <w:p>
            <w:pPr>
              <w:snapToGrid w:val="0"/>
              <w:rPr>
                <w:rFonts w:ascii="宋体" w:hAnsi="宋体" w:cs="宋体"/>
                <w:spacing w:val="2"/>
                <w:sz w:val="24"/>
                <w:lang w:val="zh-CN"/>
              </w:rPr>
            </w:pPr>
            <w:r>
              <w:rPr>
                <w:rFonts w:hint="eastAsia" w:ascii="宋体" w:hAnsi="宋体" w:cs="宋体"/>
                <w:spacing w:val="2"/>
                <w:sz w:val="24"/>
                <w:lang w:val="zh-CN"/>
              </w:rPr>
              <w:t>投标人如对采购文件有疑问，须在投标截止时间3日前将书面询问文件同时提交采购人</w:t>
            </w:r>
            <w:r>
              <w:rPr>
                <w:rFonts w:hint="eastAsia" w:ascii="宋体" w:hAnsi="宋体" w:cs="宋体"/>
                <w:spacing w:val="2"/>
                <w:sz w:val="24"/>
              </w:rPr>
              <w:t>或代理结构</w:t>
            </w:r>
            <w:r>
              <w:rPr>
                <w:rFonts w:hint="eastAsia" w:ascii="宋体" w:hAnsi="宋体" w:cs="宋体"/>
                <w:spacing w:val="2"/>
                <w:sz w:val="24"/>
                <w:lang w:val="zh-CN"/>
              </w:rPr>
              <w:t>。</w:t>
            </w:r>
          </w:p>
          <w:p>
            <w:pPr>
              <w:snapToGrid w:val="0"/>
              <w:rPr>
                <w:rFonts w:ascii="宋体" w:hAnsi="宋体" w:cs="宋体"/>
                <w:spacing w:val="2"/>
                <w:sz w:val="24"/>
              </w:rPr>
            </w:pPr>
            <w:r>
              <w:rPr>
                <w:rFonts w:hint="eastAsia" w:ascii="宋体" w:hAnsi="宋体" w:cs="宋体"/>
                <w:spacing w:val="2"/>
                <w:sz w:val="24"/>
              </w:rPr>
              <w:t xml:space="preserve">采购人联系人：陈敏     </w:t>
            </w:r>
            <w:r>
              <w:rPr>
                <w:rFonts w:ascii="宋体" w:hAnsi="宋体" w:cs="宋体"/>
                <w:spacing w:val="2"/>
                <w:sz w:val="24"/>
              </w:rPr>
              <w:t xml:space="preserve">      </w:t>
            </w:r>
            <w:r>
              <w:rPr>
                <w:rFonts w:hint="eastAsia" w:ascii="宋体" w:hAnsi="宋体" w:cs="宋体"/>
                <w:spacing w:val="2"/>
                <w:sz w:val="24"/>
              </w:rPr>
              <w:t>电话：</w:t>
            </w:r>
            <w:r>
              <w:rPr>
                <w:rFonts w:hint="eastAsia" w:ascii="宋体" w:hAnsi="宋体" w:cs="宋体"/>
                <w:spacing w:val="2"/>
                <w:sz w:val="24"/>
                <w:lang w:val="en-US" w:eastAsia="zh-CN"/>
              </w:rPr>
              <w:t>0519-</w:t>
            </w:r>
            <w:r>
              <w:rPr>
                <w:rFonts w:hint="eastAsia" w:ascii="宋体" w:hAnsi="宋体" w:cs="宋体"/>
                <w:spacing w:val="2"/>
                <w:sz w:val="24"/>
              </w:rPr>
              <w:t>85307147</w:t>
            </w:r>
          </w:p>
          <w:p>
            <w:pPr>
              <w:snapToGrid w:val="0"/>
              <w:rPr>
                <w:rFonts w:ascii="宋体" w:hAnsi="宋体" w:cs="宋体"/>
                <w:spacing w:val="2"/>
                <w:sz w:val="24"/>
              </w:rPr>
            </w:pPr>
            <w:r>
              <w:rPr>
                <w:rFonts w:hint="eastAsia" w:ascii="宋体" w:hAnsi="宋体" w:cs="宋体"/>
                <w:spacing w:val="2"/>
                <w:sz w:val="24"/>
              </w:rPr>
              <w:t>代理机构联系人：陈樱         电话：15061992993</w:t>
            </w:r>
          </w:p>
          <w:p>
            <w:pPr>
              <w:snapToGrid w:val="0"/>
            </w:pPr>
            <w:r>
              <w:rPr>
                <w:rFonts w:hint="eastAsia" w:ascii="宋体" w:hAnsi="宋体" w:cs="宋体"/>
                <w:spacing w:val="2"/>
                <w:sz w:val="24"/>
              </w:rPr>
              <w:t>地址：常州市天宁区弘智路7号B座3楼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3</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投标文件份数：</w:t>
            </w:r>
            <w:r>
              <w:rPr>
                <w:rFonts w:hint="eastAsia" w:ascii="宋体" w:hAnsi="宋体" w:cs="宋体"/>
                <w:bCs/>
                <w:spacing w:val="2"/>
                <w:sz w:val="24"/>
                <w:lang w:val="zh-CN"/>
              </w:rPr>
              <w:t>正本一份、副本二份</w:t>
            </w:r>
          </w:p>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30"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000000" w:themeColor="text1"/>
                <w:spacing w:val="2"/>
                <w:sz w:val="24"/>
                <w:lang w:val="zh-CN"/>
                <w14:textFill>
                  <w14:solidFill>
                    <w14:schemeClr w14:val="tx1"/>
                  </w14:solidFill>
                </w14:textFill>
              </w:rPr>
            </w:pPr>
            <w:r>
              <w:rPr>
                <w:rFonts w:ascii="宋体" w:hAnsi="宋体" w:cs="宋体"/>
                <w:color w:val="000000" w:themeColor="text1"/>
                <w:spacing w:val="2"/>
                <w:sz w:val="24"/>
                <w:lang w:val="zh-CN"/>
                <w14:textFill>
                  <w14:solidFill>
                    <w14:schemeClr w14:val="tx1"/>
                  </w14:solidFill>
                </w14:textFill>
              </w:rPr>
              <w:t>4</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FF0000"/>
                <w:spacing w:val="2"/>
                <w:sz w:val="24"/>
                <w:lang w:val="zh-CN"/>
              </w:rPr>
            </w:pPr>
            <w:r>
              <w:rPr>
                <w:rFonts w:hint="eastAsia" w:ascii="宋体" w:hAnsi="宋体" w:cs="宋体"/>
                <w:color w:val="000000" w:themeColor="text1"/>
                <w:spacing w:val="2"/>
                <w:sz w:val="24"/>
                <w:lang w:val="zh-CN"/>
                <w14:textFill>
                  <w14:solidFill>
                    <w14:schemeClr w14:val="tx1"/>
                  </w14:solidFill>
                </w14:textFill>
              </w:rPr>
              <w:t>投标文件接收时间：</w:t>
            </w:r>
            <w:r>
              <w:rPr>
                <w:rFonts w:ascii="宋体" w:hAnsi="宋体" w:cs="宋体"/>
                <w:color w:val="FF0000"/>
                <w:spacing w:val="2"/>
                <w:sz w:val="24"/>
                <w:lang w:val="zh-CN"/>
              </w:rPr>
              <w:t>202</w:t>
            </w:r>
            <w:r>
              <w:rPr>
                <w:rFonts w:hint="eastAsia" w:ascii="宋体" w:hAnsi="宋体" w:cs="宋体"/>
                <w:color w:val="FF0000"/>
                <w:spacing w:val="2"/>
                <w:sz w:val="24"/>
              </w:rPr>
              <w:t>2</w:t>
            </w:r>
            <w:r>
              <w:rPr>
                <w:rFonts w:ascii="宋体" w:hAnsi="宋体" w:cs="宋体"/>
                <w:color w:val="FF0000"/>
                <w:spacing w:val="2"/>
                <w:sz w:val="24"/>
                <w:lang w:val="zh-CN"/>
              </w:rPr>
              <w:t xml:space="preserve">年 </w:t>
            </w:r>
            <w:r>
              <w:rPr>
                <w:rFonts w:hint="eastAsia" w:ascii="宋体" w:hAnsi="宋体" w:cs="宋体"/>
                <w:color w:val="FF0000"/>
                <w:spacing w:val="2"/>
                <w:sz w:val="24"/>
                <w:lang w:val="en-US" w:eastAsia="zh-CN"/>
              </w:rPr>
              <w:t>8</w:t>
            </w:r>
            <w:r>
              <w:rPr>
                <w:rFonts w:hint="eastAsia" w:ascii="宋体" w:hAnsi="宋体" w:cs="宋体"/>
                <w:color w:val="FF0000"/>
                <w:spacing w:val="2"/>
                <w:sz w:val="24"/>
              </w:rPr>
              <w:t>月</w:t>
            </w:r>
            <w:r>
              <w:rPr>
                <w:rFonts w:hint="eastAsia" w:ascii="宋体" w:hAnsi="宋体" w:cs="宋体"/>
                <w:color w:val="FF0000"/>
                <w:spacing w:val="2"/>
                <w:sz w:val="24"/>
                <w:lang w:val="en-US" w:eastAsia="zh-CN"/>
              </w:rPr>
              <w:t>5</w:t>
            </w:r>
            <w:r>
              <w:rPr>
                <w:rFonts w:hint="eastAsia" w:ascii="宋体" w:hAnsi="宋体" w:cs="宋体"/>
                <w:color w:val="FF0000"/>
                <w:spacing w:val="2"/>
                <w:sz w:val="24"/>
              </w:rPr>
              <w:t>日</w:t>
            </w:r>
            <w:r>
              <w:rPr>
                <w:rFonts w:hint="eastAsia" w:ascii="宋体" w:hAnsi="宋体" w:cs="宋体"/>
                <w:color w:val="FF0000"/>
                <w:spacing w:val="2"/>
                <w:sz w:val="24"/>
                <w:lang w:val="en-US" w:eastAsia="zh-CN"/>
              </w:rPr>
              <w:t>13</w:t>
            </w:r>
            <w:r>
              <w:rPr>
                <w:rFonts w:ascii="宋体" w:hAnsi="宋体" w:cs="宋体"/>
                <w:color w:val="FF0000"/>
                <w:spacing w:val="2"/>
                <w:sz w:val="24"/>
                <w:lang w:val="zh-CN"/>
              </w:rPr>
              <w:t>点</w:t>
            </w:r>
            <w:r>
              <w:rPr>
                <w:rFonts w:hint="eastAsia" w:ascii="宋体" w:hAnsi="宋体" w:cs="宋体"/>
                <w:color w:val="FF0000"/>
                <w:spacing w:val="2"/>
                <w:sz w:val="24"/>
                <w:lang w:val="en-US" w:eastAsia="zh-CN"/>
              </w:rPr>
              <w:t>3</w:t>
            </w:r>
            <w:r>
              <w:rPr>
                <w:rFonts w:hint="eastAsia" w:ascii="宋体" w:hAnsi="宋体" w:cs="宋体"/>
                <w:color w:val="FF0000"/>
                <w:spacing w:val="2"/>
                <w:sz w:val="24"/>
              </w:rPr>
              <w:t>0</w:t>
            </w:r>
            <w:r>
              <w:rPr>
                <w:rFonts w:ascii="宋体" w:hAnsi="宋体" w:cs="宋体"/>
                <w:color w:val="FF0000"/>
                <w:spacing w:val="2"/>
                <w:sz w:val="24"/>
                <w:lang w:val="zh-CN"/>
              </w:rPr>
              <w:t xml:space="preserve"> 分</w:t>
            </w:r>
          </w:p>
          <w:p>
            <w:pPr>
              <w:snapToGrid w:val="0"/>
              <w:spacing w:line="560" w:lineRule="exact"/>
              <w:rPr>
                <w:rFonts w:ascii="宋体" w:hAnsi="宋体" w:cs="宋体"/>
                <w:color w:val="FF0000"/>
                <w:spacing w:val="2"/>
                <w:sz w:val="24"/>
                <w:lang w:val="zh-CN"/>
              </w:rPr>
            </w:pPr>
            <w:r>
              <w:rPr>
                <w:rFonts w:hint="eastAsia" w:ascii="宋体" w:hAnsi="宋体" w:cs="宋体"/>
                <w:color w:val="000000" w:themeColor="text1"/>
                <w:spacing w:val="2"/>
                <w:sz w:val="24"/>
                <w:lang w:val="zh-CN"/>
                <w14:textFill>
                  <w14:solidFill>
                    <w14:schemeClr w14:val="tx1"/>
                  </w14:solidFill>
                </w14:textFill>
              </w:rPr>
              <w:t>投标文件提交截止时间：</w:t>
            </w:r>
            <w:r>
              <w:rPr>
                <w:rFonts w:hint="eastAsia" w:ascii="宋体" w:hAnsi="宋体" w:cs="宋体"/>
                <w:color w:val="FF0000"/>
                <w:spacing w:val="2"/>
                <w:sz w:val="24"/>
                <w:lang w:val="zh-CN"/>
              </w:rPr>
              <w:t>2022年8月5日</w:t>
            </w:r>
            <w:r>
              <w:rPr>
                <w:rFonts w:hint="eastAsia" w:ascii="宋体" w:hAnsi="宋体" w:cs="宋体"/>
                <w:color w:val="FF0000"/>
                <w:spacing w:val="2"/>
                <w:sz w:val="24"/>
                <w:lang w:val="en-US" w:eastAsia="zh-CN"/>
              </w:rPr>
              <w:t>14</w:t>
            </w:r>
            <w:r>
              <w:rPr>
                <w:rFonts w:ascii="宋体" w:hAnsi="宋体" w:cs="宋体"/>
                <w:color w:val="FF0000"/>
                <w:spacing w:val="2"/>
                <w:sz w:val="24"/>
                <w:lang w:val="zh-CN"/>
              </w:rPr>
              <w:t>点</w:t>
            </w:r>
            <w:r>
              <w:rPr>
                <w:rFonts w:hint="eastAsia" w:ascii="宋体" w:hAnsi="宋体" w:cs="宋体"/>
                <w:color w:val="FF0000"/>
                <w:spacing w:val="2"/>
                <w:sz w:val="24"/>
                <w:lang w:val="en-US" w:eastAsia="zh-CN"/>
              </w:rPr>
              <w:t>00</w:t>
            </w:r>
            <w:r>
              <w:rPr>
                <w:rFonts w:ascii="宋体" w:hAnsi="宋体" w:cs="宋体"/>
                <w:color w:val="FF0000"/>
                <w:spacing w:val="2"/>
                <w:sz w:val="24"/>
                <w:lang w:val="zh-CN"/>
              </w:rPr>
              <w:t xml:space="preserve"> 分</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投标文件提交地点：江苏畅誉项目管理有限公司</w:t>
            </w:r>
          </w:p>
          <w:p>
            <w:pPr>
              <w:snapToGrid w:val="0"/>
              <w:spacing w:line="560" w:lineRule="exact"/>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地址：</w:t>
            </w:r>
            <w:r>
              <w:rPr>
                <w:rFonts w:hint="eastAsia" w:ascii="宋体" w:hAnsi="宋体" w:cs="宋体"/>
                <w:color w:val="000000" w:themeColor="text1"/>
                <w:spacing w:val="2"/>
                <w:sz w:val="24"/>
                <w14:textFill>
                  <w14:solidFill>
                    <w14:schemeClr w14:val="tx1"/>
                  </w14:solidFill>
                </w14:textFill>
              </w:rPr>
              <w:t>常州市天宁区弘智路7号B座3楼</w:t>
            </w:r>
          </w:p>
          <w:p>
            <w:pPr>
              <w:snapToGrid w:val="0"/>
              <w:spacing w:line="560" w:lineRule="exact"/>
              <w:rPr>
                <w:rFonts w:ascii="宋体" w:hAnsi="宋体" w:cs="宋体"/>
                <w:color w:val="000000" w:themeColor="text1"/>
                <w:spacing w:val="2"/>
                <w:sz w:val="24"/>
                <w:lang w:val="zh-CN"/>
                <w14:textFill>
                  <w14:solidFill>
                    <w14:schemeClr w14:val="tx1"/>
                  </w14:solidFill>
                </w14:textFill>
              </w:rPr>
            </w:pPr>
          </w:p>
          <w:p>
            <w:pPr>
              <w:snapToGrid w:val="0"/>
              <w:spacing w:line="560" w:lineRule="exact"/>
              <w:rPr>
                <w:rFonts w:ascii="宋体" w:hAnsi="宋体" w:cs="宋体"/>
                <w:color w:val="000000" w:themeColor="text1"/>
                <w:spacing w:val="2"/>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6"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000000" w:themeColor="text1"/>
                <w:spacing w:val="2"/>
                <w:sz w:val="24"/>
                <w:lang w:val="zh-CN"/>
                <w14:textFill>
                  <w14:solidFill>
                    <w14:schemeClr w14:val="tx1"/>
                  </w14:solidFill>
                </w14:textFill>
              </w:rPr>
            </w:pPr>
            <w:r>
              <w:rPr>
                <w:rFonts w:ascii="宋体" w:hAnsi="宋体" w:cs="宋体"/>
                <w:color w:val="000000" w:themeColor="text1"/>
                <w:spacing w:val="2"/>
                <w:sz w:val="24"/>
                <w:lang w:val="zh-CN"/>
                <w14:textFill>
                  <w14:solidFill>
                    <w14:schemeClr w14:val="tx1"/>
                  </w14:solidFill>
                </w14:textFill>
              </w:rPr>
              <w:t>5</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FF0000"/>
                <w:spacing w:val="2"/>
                <w:sz w:val="24"/>
                <w:lang w:val="zh-CN"/>
              </w:rPr>
            </w:pPr>
            <w:r>
              <w:rPr>
                <w:rFonts w:hint="eastAsia" w:ascii="宋体" w:hAnsi="宋体" w:cs="宋体"/>
                <w:color w:val="000000" w:themeColor="text1"/>
                <w:spacing w:val="2"/>
                <w:sz w:val="24"/>
                <w:lang w:val="zh-CN"/>
                <w14:textFill>
                  <w14:solidFill>
                    <w14:schemeClr w14:val="tx1"/>
                  </w14:solidFill>
                </w14:textFill>
              </w:rPr>
              <w:t>开标时间：</w:t>
            </w:r>
            <w:r>
              <w:rPr>
                <w:rFonts w:hint="eastAsia" w:ascii="宋体" w:hAnsi="宋体" w:cs="宋体"/>
                <w:color w:val="FF0000"/>
                <w:spacing w:val="2"/>
                <w:sz w:val="24"/>
                <w:lang w:val="zh-CN"/>
              </w:rPr>
              <w:t>2022年8月5日</w:t>
            </w:r>
            <w:r>
              <w:rPr>
                <w:rFonts w:hint="eastAsia" w:ascii="宋体" w:hAnsi="宋体" w:cs="宋体"/>
                <w:color w:val="FF0000"/>
                <w:spacing w:val="2"/>
                <w:sz w:val="24"/>
                <w:lang w:val="en-US" w:eastAsia="zh-CN"/>
              </w:rPr>
              <w:t>14</w:t>
            </w:r>
            <w:r>
              <w:rPr>
                <w:rFonts w:ascii="宋体" w:hAnsi="宋体" w:cs="宋体"/>
                <w:color w:val="FF0000"/>
                <w:spacing w:val="2"/>
                <w:sz w:val="24"/>
                <w:lang w:val="zh-CN"/>
              </w:rPr>
              <w:t xml:space="preserve">点 </w:t>
            </w:r>
            <w:r>
              <w:rPr>
                <w:rFonts w:hint="eastAsia" w:ascii="宋体" w:hAnsi="宋体" w:cs="宋体"/>
                <w:color w:val="FF0000"/>
                <w:spacing w:val="2"/>
                <w:sz w:val="24"/>
                <w:lang w:val="en-US" w:eastAsia="zh-CN"/>
              </w:rPr>
              <w:t>00</w:t>
            </w:r>
            <w:r>
              <w:rPr>
                <w:rFonts w:ascii="宋体" w:hAnsi="宋体" w:cs="宋体"/>
                <w:color w:val="FF0000"/>
                <w:spacing w:val="2"/>
                <w:sz w:val="24"/>
                <w:lang w:val="zh-CN"/>
              </w:rPr>
              <w:t xml:space="preserve"> 分</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地　　点：</w:t>
            </w:r>
            <w:r>
              <w:rPr>
                <w:rFonts w:hint="eastAsia" w:ascii="宋体" w:hAnsi="宋体" w:cs="宋体"/>
                <w:color w:val="000000" w:themeColor="text1"/>
                <w:spacing w:val="2"/>
                <w:sz w:val="24"/>
                <w14:textFill>
                  <w14:solidFill>
                    <w14:schemeClr w14:val="tx1"/>
                  </w14:solidFill>
                </w14:textFill>
              </w:rPr>
              <w:t>常州市天宁区弘智路7号B座3楼开标室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96"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6</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rPr>
            </w:pPr>
            <w:r>
              <w:rPr>
                <w:rFonts w:hint="eastAsia" w:ascii="宋体" w:hAnsi="宋体" w:cs="宋体"/>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7</w:t>
            </w:r>
          </w:p>
        </w:tc>
        <w:tc>
          <w:tcPr>
            <w:tcW w:w="7984" w:type="dxa"/>
            <w:tcBorders>
              <w:top w:val="single" w:color="auto" w:sz="4" w:space="0"/>
              <w:left w:val="single" w:color="auto" w:sz="4" w:space="0"/>
              <w:bottom w:val="single" w:color="auto" w:sz="4" w:space="0"/>
            </w:tcBorders>
            <w:vAlign w:val="center"/>
          </w:tcPr>
          <w:p>
            <w:pPr>
              <w:snapToGrid w:val="0"/>
              <w:spacing w:line="560" w:lineRule="exact"/>
              <w:ind w:firstLine="122" w:firstLineChars="50"/>
              <w:rPr>
                <w:rFonts w:ascii="宋体" w:hAnsi="宋体" w:cs="宋体"/>
                <w:spacing w:val="2"/>
                <w:sz w:val="24"/>
              </w:rPr>
            </w:pPr>
            <w:r>
              <w:rPr>
                <w:rFonts w:hint="eastAsia" w:ascii="宋体" w:hAnsi="宋体" w:cs="宋体"/>
                <w:spacing w:val="2"/>
                <w:sz w:val="24"/>
              </w:rPr>
              <w:t>投标有效期：</w:t>
            </w:r>
            <w:r>
              <w:rPr>
                <w:rFonts w:hint="eastAsia" w:ascii="宋体" w:hAnsi="宋体" w:cs="宋体"/>
                <w:sz w:val="24"/>
                <w:shd w:val="clear" w:color="auto" w:fill="FFFFFF"/>
              </w:rPr>
              <w:t>从提交投标文件的截止之日起</w:t>
            </w:r>
            <w:r>
              <w:rPr>
                <w:rFonts w:hint="eastAsia" w:ascii="宋体" w:hAnsi="宋体" w:cs="宋体"/>
                <w:sz w:val="24"/>
                <w:u w:val="single"/>
                <w:shd w:val="clear" w:color="auto" w:fill="FFFFFF"/>
              </w:rPr>
              <w:t>60</w:t>
            </w:r>
            <w:r>
              <w:rPr>
                <w:rFonts w:hint="eastAsia" w:ascii="宋体" w:hAnsi="宋体" w:cs="宋体"/>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45"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8</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投标人信用信息查询渠道:</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信用中国网站（</w:t>
            </w:r>
            <w:r>
              <w:rPr>
                <w:spacing w:val="2"/>
                <w:sz w:val="24"/>
                <w:lang w:val="zh-CN"/>
              </w:rPr>
              <w:t>www.creditchina.gov.cn</w:t>
            </w:r>
            <w:r>
              <w:rPr>
                <w:rFonts w:hint="eastAsia" w:ascii="宋体" w:hAnsi="宋体" w:cs="宋体"/>
                <w:spacing w:val="2"/>
                <w:sz w:val="24"/>
                <w:lang w:val="zh-CN"/>
              </w:rPr>
              <w:t>）、中国政府采购网（</w:t>
            </w:r>
            <w:r>
              <w:rPr>
                <w:spacing w:val="2"/>
                <w:sz w:val="24"/>
                <w:lang w:val="zh-CN"/>
              </w:rPr>
              <w:t>www.ccgp.gov.cn</w:t>
            </w:r>
            <w:r>
              <w:rPr>
                <w:rFonts w:hint="eastAsia" w:ascii="宋体" w:hAnsi="宋体" w:cs="宋体"/>
                <w:spacing w:val="2"/>
                <w:sz w:val="24"/>
                <w:lang w:val="zh-CN"/>
              </w:rPr>
              <w:t>）</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查询截止时点:投标文件提交截止时间</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查询结果将以网页打印的形式留存并归档。</w:t>
            </w: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pacing w:val="2"/>
                <w:sz w:val="24"/>
                <w:lang w:val="zh-CN"/>
              </w:rPr>
            </w:pPr>
          </w:p>
          <w:p>
            <w:pPr>
              <w:rPr>
                <w:rFonts w:ascii="宋体" w:hAnsi="宋体" w:cs="宋体"/>
                <w:sz w:val="24"/>
                <w:lang w:val="zh-CN"/>
              </w:rPr>
            </w:pPr>
          </w:p>
        </w:tc>
      </w:tr>
    </w:tbl>
    <w:p>
      <w:pPr>
        <w:pageBreakBefore/>
        <w:snapToGrid w:val="0"/>
        <w:spacing w:line="360" w:lineRule="auto"/>
        <w:ind w:firstLine="397"/>
        <w:jc w:val="center"/>
        <w:rPr>
          <w:rFonts w:ascii="黑体" w:hAnsi="黑体" w:eastAsia="黑体" w:cs="黑体"/>
          <w:b/>
          <w:sz w:val="44"/>
          <w:szCs w:val="44"/>
        </w:rPr>
      </w:pPr>
      <w:r>
        <w:rPr>
          <w:rFonts w:hint="eastAsia" w:ascii="黑体" w:hAnsi="黑体" w:eastAsia="黑体" w:cs="黑体"/>
          <w:b/>
          <w:sz w:val="44"/>
          <w:szCs w:val="44"/>
        </w:rPr>
        <w:t>目    录</w:t>
      </w:r>
    </w:p>
    <w:p>
      <w:pPr>
        <w:pStyle w:val="17"/>
        <w:tabs>
          <w:tab w:val="right" w:leader="dot" w:pos="8296"/>
        </w:tabs>
        <w:rPr>
          <w:sz w:val="44"/>
          <w:szCs w:val="44"/>
        </w:rPr>
      </w:pPr>
      <w:r>
        <w:rPr>
          <w:rFonts w:hint="eastAsia" w:ascii="黑体" w:hAnsi="黑体" w:eastAsia="黑体" w:cs="黑体"/>
          <w:b w:val="0"/>
          <w:sz w:val="44"/>
          <w:szCs w:val="44"/>
        </w:rPr>
        <w:fldChar w:fldCharType="begin"/>
      </w:r>
      <w:r>
        <w:rPr>
          <w:rFonts w:hint="eastAsia" w:ascii="黑体" w:hAnsi="黑体" w:eastAsia="黑体" w:cs="黑体"/>
          <w:b w:val="0"/>
          <w:sz w:val="44"/>
          <w:szCs w:val="44"/>
        </w:rPr>
        <w:instrText xml:space="preserve"> TOC \o "1-1" \h \z \u </w:instrText>
      </w:r>
      <w:r>
        <w:rPr>
          <w:rFonts w:hint="eastAsia" w:ascii="黑体" w:hAnsi="黑体" w:eastAsia="黑体" w:cs="黑体"/>
          <w:b w:val="0"/>
          <w:sz w:val="44"/>
          <w:szCs w:val="44"/>
        </w:rPr>
        <w:fldChar w:fldCharType="separate"/>
      </w:r>
      <w:r>
        <w:fldChar w:fldCharType="begin"/>
      </w:r>
      <w:r>
        <w:instrText xml:space="preserve"> HYPERLINK \l "_Toc10464679" </w:instrText>
      </w:r>
      <w:r>
        <w:fldChar w:fldCharType="separate"/>
      </w:r>
      <w:r>
        <w:rPr>
          <w:rStyle w:val="23"/>
          <w:rFonts w:hint="eastAsia" w:ascii="黑体" w:hAnsi="黑体" w:cs="黑体"/>
          <w:color w:val="auto"/>
          <w:sz w:val="44"/>
          <w:szCs w:val="44"/>
        </w:rPr>
        <w:t>招标公告</w:t>
      </w:r>
      <w:r>
        <w:rPr>
          <w:sz w:val="44"/>
          <w:szCs w:val="44"/>
        </w:rPr>
        <w:tab/>
      </w:r>
      <w:r>
        <w:rPr>
          <w:sz w:val="44"/>
          <w:szCs w:val="44"/>
        </w:rPr>
        <w:fldChar w:fldCharType="end"/>
      </w:r>
      <w:r>
        <w:rPr>
          <w:rFonts w:hint="eastAsia"/>
          <w:sz w:val="44"/>
          <w:szCs w:val="44"/>
        </w:rPr>
        <w:t>...</w:t>
      </w:r>
      <w:r>
        <w:rPr>
          <w:sz w:val="44"/>
          <w:szCs w:val="44"/>
        </w:rPr>
        <w:t>3</w:t>
      </w:r>
    </w:p>
    <w:p/>
    <w:p>
      <w:pPr>
        <w:pStyle w:val="17"/>
        <w:tabs>
          <w:tab w:val="right" w:leader="dot" w:pos="8296"/>
        </w:tabs>
        <w:rPr>
          <w:sz w:val="44"/>
          <w:szCs w:val="44"/>
        </w:rPr>
      </w:pPr>
      <w:r>
        <w:fldChar w:fldCharType="begin"/>
      </w:r>
      <w:r>
        <w:instrText xml:space="preserve"> HYPERLINK \l "_Toc10464680" </w:instrText>
      </w:r>
      <w:r>
        <w:fldChar w:fldCharType="separate"/>
      </w:r>
      <w:r>
        <w:rPr>
          <w:rStyle w:val="23"/>
          <w:rFonts w:hint="eastAsia" w:ascii="黑体" w:hAnsi="黑体" w:cs="黑体"/>
          <w:color w:val="auto"/>
          <w:sz w:val="44"/>
          <w:szCs w:val="44"/>
        </w:rPr>
        <w:t>第一章</w:t>
      </w:r>
      <w:r>
        <w:rPr>
          <w:rStyle w:val="23"/>
          <w:rFonts w:ascii="黑体" w:hAnsi="黑体" w:cs="黑体"/>
          <w:color w:val="auto"/>
          <w:sz w:val="44"/>
          <w:szCs w:val="44"/>
        </w:rPr>
        <w:t xml:space="preserve"> </w:t>
      </w:r>
      <w:r>
        <w:rPr>
          <w:rStyle w:val="23"/>
          <w:rFonts w:hint="eastAsia" w:ascii="黑体" w:hAnsi="黑体" w:cs="黑体"/>
          <w:color w:val="auto"/>
          <w:sz w:val="44"/>
          <w:szCs w:val="44"/>
        </w:rPr>
        <w:t xml:space="preserve">总  </w:t>
      </w:r>
      <w:r>
        <w:rPr>
          <w:rStyle w:val="23"/>
          <w:rFonts w:ascii="黑体" w:hAnsi="黑体" w:cs="黑体"/>
          <w:color w:val="auto"/>
          <w:sz w:val="44"/>
          <w:szCs w:val="44"/>
        </w:rPr>
        <w:t xml:space="preserve"> </w:t>
      </w:r>
      <w:r>
        <w:rPr>
          <w:rStyle w:val="23"/>
          <w:rFonts w:hint="eastAsia" w:ascii="黑体" w:hAnsi="黑体" w:cs="黑体"/>
          <w:color w:val="auto"/>
          <w:sz w:val="44"/>
          <w:szCs w:val="44"/>
        </w:rPr>
        <w:t>则</w:t>
      </w:r>
      <w:r>
        <w:rPr>
          <w:sz w:val="44"/>
          <w:szCs w:val="44"/>
        </w:rPr>
        <w:tab/>
      </w:r>
      <w:r>
        <w:rPr>
          <w:rFonts w:hint="eastAsia"/>
          <w:sz w:val="44"/>
          <w:szCs w:val="44"/>
        </w:rPr>
        <w:t>6</w:t>
      </w:r>
      <w:r>
        <w:rPr>
          <w:rFonts w:hint="eastAsia"/>
          <w:sz w:val="44"/>
          <w:szCs w:val="44"/>
        </w:rPr>
        <w:fldChar w:fldCharType="end"/>
      </w:r>
    </w:p>
    <w:p/>
    <w:p>
      <w:pPr>
        <w:pStyle w:val="17"/>
        <w:tabs>
          <w:tab w:val="right" w:leader="dot" w:pos="8296"/>
        </w:tabs>
        <w:rPr>
          <w:sz w:val="44"/>
          <w:szCs w:val="44"/>
        </w:rPr>
      </w:pPr>
      <w:r>
        <w:fldChar w:fldCharType="begin"/>
      </w:r>
      <w:r>
        <w:instrText xml:space="preserve"> HYPERLINK \l "_Toc10464681" </w:instrText>
      </w:r>
      <w:r>
        <w:fldChar w:fldCharType="separate"/>
      </w:r>
      <w:r>
        <w:rPr>
          <w:rStyle w:val="23"/>
          <w:rFonts w:hint="eastAsia" w:ascii="黑体" w:hAnsi="黑体" w:cs="黑体"/>
          <w:snapToGrid w:val="0"/>
          <w:color w:val="auto"/>
          <w:spacing w:val="-6"/>
          <w:sz w:val="44"/>
          <w:szCs w:val="44"/>
        </w:rPr>
        <w:t>第二章</w:t>
      </w:r>
      <w:r>
        <w:rPr>
          <w:rStyle w:val="23"/>
          <w:rFonts w:ascii="黑体" w:hAnsi="黑体" w:cs="黑体"/>
          <w:snapToGrid w:val="0"/>
          <w:color w:val="auto"/>
          <w:spacing w:val="-6"/>
          <w:sz w:val="44"/>
          <w:szCs w:val="44"/>
        </w:rPr>
        <w:t xml:space="preserve"> </w:t>
      </w:r>
      <w:r>
        <w:rPr>
          <w:rStyle w:val="23"/>
          <w:rFonts w:hint="eastAsia" w:ascii="黑体" w:hAnsi="黑体" w:cs="黑体"/>
          <w:snapToGrid w:val="0"/>
          <w:color w:val="auto"/>
          <w:spacing w:val="-6"/>
          <w:sz w:val="44"/>
          <w:szCs w:val="44"/>
        </w:rPr>
        <w:t>投标文件</w:t>
      </w:r>
      <w:r>
        <w:rPr>
          <w:sz w:val="44"/>
          <w:szCs w:val="44"/>
        </w:rPr>
        <w:tab/>
      </w:r>
      <w:r>
        <w:rPr>
          <w:rFonts w:hint="eastAsia"/>
          <w:sz w:val="44"/>
          <w:szCs w:val="44"/>
        </w:rPr>
        <w:t>.</w:t>
      </w:r>
      <w:r>
        <w:rPr>
          <w:rFonts w:hint="eastAsia"/>
          <w:sz w:val="44"/>
          <w:szCs w:val="44"/>
        </w:rPr>
        <w:fldChar w:fldCharType="end"/>
      </w:r>
      <w:r>
        <w:rPr>
          <w:rFonts w:hint="eastAsia"/>
          <w:sz w:val="44"/>
          <w:szCs w:val="44"/>
        </w:rPr>
        <w:t>8</w:t>
      </w:r>
    </w:p>
    <w:p/>
    <w:p>
      <w:pPr>
        <w:pStyle w:val="17"/>
        <w:tabs>
          <w:tab w:val="right" w:leader="dot" w:pos="8296"/>
        </w:tabs>
        <w:rPr>
          <w:sz w:val="44"/>
          <w:szCs w:val="44"/>
        </w:rPr>
      </w:pPr>
      <w:r>
        <w:fldChar w:fldCharType="begin"/>
      </w:r>
      <w:r>
        <w:instrText xml:space="preserve"> HYPERLINK \l "_Toc10464682" </w:instrText>
      </w:r>
      <w:r>
        <w:fldChar w:fldCharType="separate"/>
      </w:r>
      <w:r>
        <w:rPr>
          <w:rStyle w:val="23"/>
          <w:rFonts w:hint="eastAsia" w:ascii="黑体" w:hAnsi="黑体" w:cs="黑体"/>
          <w:snapToGrid w:val="0"/>
          <w:color w:val="auto"/>
          <w:spacing w:val="-6"/>
          <w:sz w:val="44"/>
          <w:szCs w:val="44"/>
        </w:rPr>
        <w:t>第三章</w:t>
      </w:r>
      <w:r>
        <w:rPr>
          <w:rStyle w:val="23"/>
          <w:rFonts w:ascii="黑体" w:hAnsi="黑体" w:cs="黑体"/>
          <w:snapToGrid w:val="0"/>
          <w:color w:val="auto"/>
          <w:spacing w:val="-6"/>
          <w:sz w:val="44"/>
          <w:szCs w:val="44"/>
        </w:rPr>
        <w:t xml:space="preserve"> </w:t>
      </w:r>
      <w:r>
        <w:rPr>
          <w:rStyle w:val="23"/>
          <w:rFonts w:hint="eastAsia" w:ascii="黑体" w:hAnsi="黑体" w:cs="黑体"/>
          <w:snapToGrid w:val="0"/>
          <w:color w:val="auto"/>
          <w:spacing w:val="-6"/>
          <w:sz w:val="44"/>
          <w:szCs w:val="44"/>
        </w:rPr>
        <w:t>投标文件密封和提交</w:t>
      </w:r>
      <w:r>
        <w:rPr>
          <w:sz w:val="44"/>
          <w:szCs w:val="44"/>
        </w:rPr>
        <w:tab/>
      </w:r>
      <w:r>
        <w:rPr>
          <w:rFonts w:hint="eastAsia"/>
          <w:sz w:val="44"/>
          <w:szCs w:val="44"/>
        </w:rPr>
        <w:t>1</w:t>
      </w:r>
      <w:r>
        <w:rPr>
          <w:rFonts w:hint="eastAsia"/>
          <w:sz w:val="44"/>
          <w:szCs w:val="44"/>
        </w:rPr>
        <w:fldChar w:fldCharType="end"/>
      </w:r>
      <w:r>
        <w:rPr>
          <w:rFonts w:hint="eastAsia"/>
          <w:sz w:val="44"/>
          <w:szCs w:val="44"/>
        </w:rPr>
        <w:t>0</w:t>
      </w:r>
    </w:p>
    <w:p/>
    <w:p>
      <w:pPr>
        <w:pStyle w:val="17"/>
        <w:tabs>
          <w:tab w:val="right" w:leader="dot" w:pos="8296"/>
        </w:tabs>
        <w:rPr>
          <w:sz w:val="44"/>
          <w:szCs w:val="44"/>
        </w:rPr>
      </w:pPr>
      <w:r>
        <w:fldChar w:fldCharType="begin"/>
      </w:r>
      <w:r>
        <w:instrText xml:space="preserve"> HYPERLINK \l "_Toc10464683" </w:instrText>
      </w:r>
      <w:r>
        <w:fldChar w:fldCharType="separate"/>
      </w:r>
      <w:r>
        <w:rPr>
          <w:rStyle w:val="23"/>
          <w:rFonts w:hint="eastAsia" w:ascii="黑体" w:hAnsi="黑体" w:cs="黑体"/>
          <w:color w:val="auto"/>
          <w:sz w:val="44"/>
          <w:szCs w:val="44"/>
        </w:rPr>
        <w:t>第四章</w:t>
      </w:r>
      <w:r>
        <w:rPr>
          <w:rStyle w:val="23"/>
          <w:rFonts w:ascii="黑体" w:hAnsi="黑体" w:cs="黑体"/>
          <w:color w:val="auto"/>
          <w:sz w:val="44"/>
          <w:szCs w:val="44"/>
        </w:rPr>
        <w:t xml:space="preserve"> </w:t>
      </w:r>
      <w:r>
        <w:rPr>
          <w:rStyle w:val="23"/>
          <w:rFonts w:hint="eastAsia" w:ascii="黑体" w:hAnsi="黑体" w:cs="黑体"/>
          <w:color w:val="auto"/>
          <w:sz w:val="44"/>
          <w:szCs w:val="44"/>
        </w:rPr>
        <w:t>投标报价</w:t>
      </w:r>
      <w:r>
        <w:rPr>
          <w:sz w:val="44"/>
          <w:szCs w:val="44"/>
        </w:rPr>
        <w:tab/>
      </w:r>
      <w:r>
        <w:rPr>
          <w:sz w:val="44"/>
          <w:szCs w:val="44"/>
        </w:rPr>
        <w:t>1</w:t>
      </w:r>
      <w:r>
        <w:rPr>
          <w:rFonts w:hint="eastAsia"/>
          <w:sz w:val="44"/>
          <w:szCs w:val="44"/>
        </w:rPr>
        <w:t>1</w:t>
      </w:r>
      <w:r>
        <w:rPr>
          <w:rFonts w:hint="eastAsia"/>
          <w:sz w:val="44"/>
          <w:szCs w:val="44"/>
        </w:rPr>
        <w:fldChar w:fldCharType="end"/>
      </w:r>
    </w:p>
    <w:p/>
    <w:p>
      <w:pPr>
        <w:pStyle w:val="17"/>
        <w:tabs>
          <w:tab w:val="right" w:leader="dot" w:pos="8296"/>
        </w:tabs>
        <w:rPr>
          <w:sz w:val="44"/>
          <w:szCs w:val="44"/>
        </w:rPr>
      </w:pPr>
      <w:r>
        <w:fldChar w:fldCharType="begin"/>
      </w:r>
      <w:r>
        <w:instrText xml:space="preserve"> HYPERLINK \l "_Toc10464684" </w:instrText>
      </w:r>
      <w:r>
        <w:fldChar w:fldCharType="separate"/>
      </w:r>
      <w:r>
        <w:rPr>
          <w:rStyle w:val="23"/>
          <w:rFonts w:hint="eastAsia" w:ascii="黑体" w:hAnsi="黑体" w:cs="黑体"/>
          <w:color w:val="auto"/>
          <w:sz w:val="44"/>
          <w:szCs w:val="44"/>
        </w:rPr>
        <w:t>第五章 开标、评标、定标</w:t>
      </w:r>
      <w:r>
        <w:rPr>
          <w:sz w:val="44"/>
          <w:szCs w:val="44"/>
        </w:rPr>
        <w:tab/>
      </w:r>
      <w:r>
        <w:rPr>
          <w:sz w:val="44"/>
          <w:szCs w:val="44"/>
        </w:rPr>
        <w:t>1</w:t>
      </w:r>
      <w:r>
        <w:rPr>
          <w:rFonts w:hint="eastAsia"/>
          <w:sz w:val="44"/>
          <w:szCs w:val="44"/>
        </w:rPr>
        <w:t>3</w:t>
      </w:r>
      <w:r>
        <w:rPr>
          <w:rFonts w:hint="eastAsia"/>
          <w:sz w:val="44"/>
          <w:szCs w:val="44"/>
        </w:rPr>
        <w:fldChar w:fldCharType="end"/>
      </w:r>
      <w:r>
        <w:rPr>
          <w:rFonts w:hint="eastAsia"/>
          <w:sz w:val="44"/>
          <w:szCs w:val="44"/>
        </w:rPr>
        <w:t xml:space="preserve"> </w:t>
      </w:r>
    </w:p>
    <w:p/>
    <w:p>
      <w:pPr>
        <w:pStyle w:val="17"/>
        <w:tabs>
          <w:tab w:val="right" w:leader="dot" w:pos="8296"/>
        </w:tabs>
        <w:rPr>
          <w:rFonts w:hint="eastAsia" w:eastAsia="宋体"/>
          <w:sz w:val="44"/>
          <w:szCs w:val="44"/>
          <w:lang w:eastAsia="zh-CN"/>
        </w:rPr>
      </w:pPr>
      <w:r>
        <w:fldChar w:fldCharType="begin"/>
      </w:r>
      <w:r>
        <w:instrText xml:space="preserve"> HYPERLINK \l "_Toc10464685" </w:instrText>
      </w:r>
      <w:r>
        <w:fldChar w:fldCharType="separate"/>
      </w:r>
      <w:r>
        <w:rPr>
          <w:rStyle w:val="23"/>
          <w:rFonts w:hint="eastAsia" w:ascii="黑体" w:hAnsi="黑体" w:cs="黑体"/>
          <w:color w:val="auto"/>
          <w:sz w:val="44"/>
          <w:szCs w:val="44"/>
        </w:rPr>
        <w:t>第六章</w:t>
      </w:r>
      <w:r>
        <w:rPr>
          <w:rStyle w:val="23"/>
          <w:rFonts w:ascii="黑体" w:hAnsi="黑体" w:cs="黑体"/>
          <w:color w:val="auto"/>
          <w:sz w:val="44"/>
          <w:szCs w:val="44"/>
        </w:rPr>
        <w:t xml:space="preserve"> </w:t>
      </w:r>
      <w:r>
        <w:rPr>
          <w:rStyle w:val="23"/>
          <w:rFonts w:hint="eastAsia" w:ascii="黑体" w:hAnsi="黑体" w:cs="黑体"/>
          <w:color w:val="auto"/>
          <w:sz w:val="44"/>
          <w:szCs w:val="44"/>
        </w:rPr>
        <w:t>格式附表</w:t>
      </w:r>
      <w:r>
        <w:rPr>
          <w:sz w:val="44"/>
          <w:szCs w:val="44"/>
        </w:rPr>
        <w:tab/>
      </w:r>
      <w:r>
        <w:rPr>
          <w:rFonts w:hint="eastAsia"/>
          <w:sz w:val="44"/>
          <w:szCs w:val="44"/>
        </w:rPr>
        <w:t>2</w:t>
      </w:r>
      <w:r>
        <w:rPr>
          <w:rFonts w:hint="eastAsia"/>
          <w:sz w:val="44"/>
          <w:szCs w:val="44"/>
        </w:rPr>
        <w:fldChar w:fldCharType="end"/>
      </w:r>
      <w:r>
        <w:rPr>
          <w:rFonts w:hint="eastAsia"/>
          <w:sz w:val="44"/>
          <w:szCs w:val="44"/>
          <w:lang w:val="en-US" w:eastAsia="zh-CN"/>
        </w:rPr>
        <w:t>4</w:t>
      </w:r>
    </w:p>
    <w:p/>
    <w:p>
      <w:pPr>
        <w:pStyle w:val="17"/>
        <w:tabs>
          <w:tab w:val="right" w:leader="dot" w:pos="8296"/>
        </w:tabs>
        <w:rPr>
          <w:rFonts w:hint="eastAsia" w:eastAsia="宋体"/>
          <w:sz w:val="44"/>
          <w:szCs w:val="44"/>
          <w:lang w:eastAsia="zh-CN"/>
        </w:rPr>
      </w:pPr>
      <w:r>
        <w:fldChar w:fldCharType="begin"/>
      </w:r>
      <w:r>
        <w:instrText xml:space="preserve"> HYPERLINK \l "_Toc10464686" </w:instrText>
      </w:r>
      <w:r>
        <w:fldChar w:fldCharType="separate"/>
      </w:r>
      <w:r>
        <w:rPr>
          <w:rStyle w:val="23"/>
          <w:rFonts w:hint="eastAsia" w:ascii="黑体" w:hAnsi="黑体" w:cs="黑体"/>
          <w:color w:val="auto"/>
          <w:sz w:val="44"/>
          <w:szCs w:val="44"/>
        </w:rPr>
        <w:t>第七章</w:t>
      </w:r>
      <w:r>
        <w:rPr>
          <w:rStyle w:val="23"/>
          <w:rFonts w:ascii="黑体" w:hAnsi="黑体" w:cs="黑体"/>
          <w:color w:val="auto"/>
          <w:sz w:val="44"/>
          <w:szCs w:val="44"/>
        </w:rPr>
        <w:t xml:space="preserve"> </w:t>
      </w:r>
      <w:r>
        <w:rPr>
          <w:rStyle w:val="23"/>
          <w:rFonts w:hint="eastAsia" w:ascii="黑体" w:hAnsi="黑体" w:cs="黑体"/>
          <w:color w:val="auto"/>
          <w:sz w:val="44"/>
          <w:szCs w:val="44"/>
        </w:rPr>
        <w:t>采购需求</w:t>
      </w:r>
      <w:r>
        <w:rPr>
          <w:sz w:val="44"/>
          <w:szCs w:val="44"/>
        </w:rPr>
        <w:tab/>
      </w:r>
      <w:r>
        <w:rPr>
          <w:rFonts w:hint="eastAsia"/>
          <w:sz w:val="44"/>
          <w:szCs w:val="44"/>
        </w:rPr>
        <w:t>4</w:t>
      </w:r>
      <w:r>
        <w:rPr>
          <w:rFonts w:hint="eastAsia"/>
          <w:sz w:val="44"/>
          <w:szCs w:val="44"/>
        </w:rPr>
        <w:fldChar w:fldCharType="end"/>
      </w:r>
      <w:r>
        <w:rPr>
          <w:rFonts w:hint="eastAsia"/>
          <w:sz w:val="44"/>
          <w:szCs w:val="44"/>
          <w:lang w:val="en-US" w:eastAsia="zh-CN"/>
        </w:rPr>
        <w:t>6</w:t>
      </w:r>
    </w:p>
    <w:p/>
    <w:p>
      <w:pPr>
        <w:pStyle w:val="17"/>
        <w:tabs>
          <w:tab w:val="right" w:leader="dot" w:pos="8296"/>
        </w:tabs>
        <w:rPr>
          <w:rFonts w:hint="eastAsia" w:eastAsia="宋体"/>
          <w:sz w:val="44"/>
          <w:szCs w:val="44"/>
          <w:lang w:eastAsia="zh-CN"/>
        </w:rPr>
      </w:pPr>
      <w:r>
        <w:fldChar w:fldCharType="begin"/>
      </w:r>
      <w:r>
        <w:instrText xml:space="preserve"> HYPERLINK \l "_Toc10464687" </w:instrText>
      </w:r>
      <w:r>
        <w:fldChar w:fldCharType="separate"/>
      </w:r>
      <w:r>
        <w:rPr>
          <w:rStyle w:val="23"/>
          <w:rFonts w:hint="eastAsia" w:ascii="黑体" w:hAnsi="黑体" w:cs="黑体"/>
          <w:color w:val="auto"/>
          <w:sz w:val="44"/>
          <w:szCs w:val="44"/>
        </w:rPr>
        <w:t>第八章</w:t>
      </w:r>
      <w:r>
        <w:rPr>
          <w:rStyle w:val="23"/>
          <w:rFonts w:ascii="黑体" w:hAnsi="黑体" w:cs="黑体"/>
          <w:color w:val="auto"/>
          <w:sz w:val="44"/>
          <w:szCs w:val="44"/>
        </w:rPr>
        <w:t xml:space="preserve"> </w:t>
      </w:r>
      <w:r>
        <w:rPr>
          <w:rStyle w:val="23"/>
          <w:rFonts w:hint="eastAsia" w:ascii="黑体" w:hAnsi="黑体" w:cs="黑体"/>
          <w:color w:val="auto"/>
          <w:sz w:val="44"/>
          <w:szCs w:val="44"/>
        </w:rPr>
        <w:t>评标办法</w:t>
      </w:r>
      <w:r>
        <w:rPr>
          <w:sz w:val="44"/>
          <w:szCs w:val="44"/>
        </w:rPr>
        <w:tab/>
      </w:r>
      <w:r>
        <w:rPr>
          <w:rFonts w:hint="eastAsia"/>
          <w:sz w:val="44"/>
          <w:szCs w:val="44"/>
        </w:rPr>
        <w:t>4</w:t>
      </w:r>
      <w:r>
        <w:rPr>
          <w:rFonts w:hint="eastAsia"/>
          <w:sz w:val="44"/>
          <w:szCs w:val="44"/>
        </w:rPr>
        <w:fldChar w:fldCharType="end"/>
      </w:r>
      <w:r>
        <w:rPr>
          <w:rFonts w:hint="eastAsia"/>
          <w:sz w:val="44"/>
          <w:szCs w:val="44"/>
          <w:lang w:val="en-US" w:eastAsia="zh-CN"/>
        </w:rPr>
        <w:t>7</w:t>
      </w:r>
    </w:p>
    <w:p/>
    <w:p>
      <w:pPr>
        <w:pStyle w:val="17"/>
        <w:tabs>
          <w:tab w:val="right" w:leader="dot" w:pos="8296"/>
        </w:tabs>
        <w:rPr>
          <w:rFonts w:hint="eastAsia" w:ascii="Calibri" w:hAnsi="Calibri" w:eastAsia="宋体"/>
          <w:b w:val="0"/>
          <w:bCs w:val="0"/>
          <w:caps w:val="0"/>
          <w:sz w:val="44"/>
          <w:szCs w:val="44"/>
          <w:lang w:val="en-US" w:eastAsia="zh-CN"/>
        </w:rPr>
      </w:pPr>
      <w:r>
        <w:rPr>
          <w:rFonts w:hint="eastAsia" w:ascii="黑体" w:hAnsi="黑体" w:eastAsia="黑体" w:cs="黑体"/>
          <w:bCs w:val="0"/>
          <w:sz w:val="44"/>
          <w:szCs w:val="44"/>
        </w:rPr>
        <w:fldChar w:fldCharType="end"/>
      </w:r>
      <w:r>
        <w:fldChar w:fldCharType="begin"/>
      </w:r>
      <w:r>
        <w:instrText xml:space="preserve"> HYPERLINK \l "_Toc10464687" </w:instrText>
      </w:r>
      <w:r>
        <w:fldChar w:fldCharType="separate"/>
      </w:r>
      <w:r>
        <w:rPr>
          <w:rStyle w:val="23"/>
          <w:rFonts w:hint="eastAsia" w:ascii="黑体" w:hAnsi="黑体" w:cs="黑体"/>
          <w:color w:val="auto"/>
          <w:sz w:val="44"/>
          <w:szCs w:val="44"/>
          <w:u w:val="none"/>
        </w:rPr>
        <w:t>第九章</w:t>
      </w:r>
      <w:r>
        <w:rPr>
          <w:rStyle w:val="23"/>
          <w:rFonts w:ascii="黑体" w:hAnsi="黑体" w:cs="黑体"/>
          <w:color w:val="auto"/>
          <w:sz w:val="44"/>
          <w:szCs w:val="44"/>
          <w:u w:val="none"/>
        </w:rPr>
        <w:t xml:space="preserve"> </w:t>
      </w:r>
      <w:r>
        <w:rPr>
          <w:rStyle w:val="23"/>
          <w:rFonts w:hint="eastAsia" w:ascii="黑体" w:hAnsi="黑体" w:cs="黑体"/>
          <w:color w:val="auto"/>
          <w:sz w:val="44"/>
          <w:szCs w:val="44"/>
          <w:u w:val="none"/>
        </w:rPr>
        <w:t>合同文本</w:t>
      </w:r>
      <w:r>
        <w:rPr>
          <w:sz w:val="44"/>
          <w:szCs w:val="44"/>
        </w:rPr>
        <w:tab/>
      </w:r>
      <w:r>
        <w:rPr>
          <w:rFonts w:hint="eastAsia"/>
          <w:sz w:val="44"/>
          <w:szCs w:val="44"/>
          <w:lang w:val="en-US" w:eastAsia="zh-CN"/>
        </w:rPr>
        <w:t>5</w:t>
      </w:r>
      <w:r>
        <w:rPr>
          <w:rFonts w:hint="eastAsia"/>
          <w:sz w:val="44"/>
          <w:szCs w:val="44"/>
        </w:rPr>
        <w:fldChar w:fldCharType="end"/>
      </w:r>
      <w:r>
        <w:rPr>
          <w:rFonts w:hint="eastAsia"/>
          <w:sz w:val="44"/>
          <w:szCs w:val="44"/>
          <w:lang w:val="en-US" w:eastAsia="zh-CN"/>
        </w:rPr>
        <w:t>0</w:t>
      </w:r>
    </w:p>
    <w:p>
      <w:r>
        <w:rPr>
          <w:rFonts w:hint="eastAsia"/>
        </w:rPr>
        <w:t xml:space="preserve"> </w:t>
      </w:r>
    </w:p>
    <w:p>
      <w:pPr>
        <w:pStyle w:val="4"/>
        <w:tabs>
          <w:tab w:val="left" w:pos="0"/>
          <w:tab w:val="left" w:pos="3165"/>
          <w:tab w:val="center" w:pos="4153"/>
        </w:tabs>
        <w:autoSpaceDE w:val="0"/>
        <w:autoSpaceDN w:val="0"/>
        <w:snapToGrid w:val="0"/>
        <w:spacing w:before="0"/>
        <w:ind w:left="0" w:firstLine="0"/>
        <w:rPr>
          <w:rFonts w:ascii="宋体" w:hAnsi="宋体" w:eastAsia="宋体"/>
          <w:sz w:val="36"/>
          <w:szCs w:val="36"/>
        </w:rPr>
      </w:pPr>
      <w:r>
        <w:rPr>
          <w:rFonts w:hint="eastAsia" w:ascii="宋体" w:hAnsi="宋体" w:eastAsia="宋体"/>
          <w:sz w:val="36"/>
          <w:szCs w:val="36"/>
        </w:rPr>
        <w:t>招标公告</w:t>
      </w:r>
      <w:bookmarkEnd w:id="0"/>
      <w:bookmarkEnd w:id="1"/>
    </w:p>
    <w:p>
      <w:pPr>
        <w:pBdr>
          <w:top w:val="single" w:color="auto" w:sz="4" w:space="1"/>
          <w:left w:val="single" w:color="auto" w:sz="4" w:space="4"/>
          <w:bottom w:val="single" w:color="auto" w:sz="4" w:space="1"/>
          <w:right w:val="single" w:color="auto" w:sz="4" w:space="4"/>
        </w:pBdr>
        <w:snapToGrid w:val="0"/>
        <w:spacing w:line="360" w:lineRule="auto"/>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sz w:val="24"/>
          <w:szCs w:val="24"/>
          <w:u w:val="single"/>
          <w:lang w:eastAsia="zh-CN"/>
        </w:rPr>
        <w:t>新堂路金碧辉园区改造</w:t>
      </w:r>
      <w:r>
        <w:rPr>
          <w:rFonts w:hint="eastAsia" w:ascii="宋体" w:hAnsi="宋体"/>
          <w:sz w:val="24"/>
          <w:szCs w:val="24"/>
          <w:u w:val="single"/>
        </w:rPr>
        <w:t>项目</w:t>
      </w:r>
      <w:r>
        <w:rPr>
          <w:rFonts w:hint="eastAsia" w:ascii="宋体" w:hAnsi="宋体"/>
          <w:sz w:val="24"/>
          <w:szCs w:val="24"/>
        </w:rPr>
        <w:t>的潜在投标人应在</w:t>
      </w:r>
      <w:r>
        <w:rPr>
          <w:rFonts w:hint="eastAsia" w:ascii="宋体" w:hAnsi="宋体"/>
          <w:sz w:val="24"/>
          <w:szCs w:val="24"/>
          <w:u w:val="single"/>
        </w:rPr>
        <w:t>天宁区弘智路7号B座3楼</w:t>
      </w:r>
      <w:r>
        <w:rPr>
          <w:rFonts w:hint="eastAsia" w:ascii="宋体" w:hAnsi="宋体"/>
          <w:sz w:val="24"/>
          <w:szCs w:val="24"/>
        </w:rPr>
        <w:t>获取招标文件，并</w:t>
      </w:r>
      <w:r>
        <w:rPr>
          <w:rFonts w:hint="eastAsia" w:ascii="宋体" w:hAnsi="宋体"/>
          <w:color w:val="000000" w:themeColor="text1"/>
          <w:sz w:val="24"/>
          <w:szCs w:val="24"/>
          <w14:textFill>
            <w14:solidFill>
              <w14:schemeClr w14:val="tx1"/>
            </w14:solidFill>
          </w14:textFill>
        </w:rPr>
        <w:t>于</w:t>
      </w:r>
      <w:r>
        <w:rPr>
          <w:rFonts w:ascii="宋体" w:hAnsi="宋体"/>
          <w:bCs/>
          <w:color w:val="FF0000"/>
          <w:sz w:val="24"/>
          <w:szCs w:val="24"/>
          <w:u w:val="single"/>
        </w:rPr>
        <w:t>202</w:t>
      </w:r>
      <w:r>
        <w:rPr>
          <w:rFonts w:hint="eastAsia" w:ascii="宋体" w:hAnsi="宋体"/>
          <w:bCs/>
          <w:color w:val="FF0000"/>
          <w:sz w:val="24"/>
          <w:szCs w:val="24"/>
          <w:u w:val="single"/>
        </w:rPr>
        <w:t>2</w:t>
      </w:r>
      <w:r>
        <w:rPr>
          <w:rFonts w:ascii="宋体" w:hAnsi="宋体"/>
          <w:bCs/>
          <w:color w:val="FF0000"/>
          <w:sz w:val="24"/>
          <w:szCs w:val="24"/>
          <w:u w:val="single"/>
        </w:rPr>
        <w:t>年</w:t>
      </w:r>
      <w:r>
        <w:rPr>
          <w:rFonts w:hint="eastAsia" w:ascii="宋体" w:hAnsi="宋体"/>
          <w:bCs/>
          <w:color w:val="FF0000"/>
          <w:sz w:val="24"/>
          <w:szCs w:val="24"/>
          <w:u w:val="single"/>
          <w:lang w:val="en-US" w:eastAsia="zh-CN"/>
        </w:rPr>
        <w:t>8</w:t>
      </w:r>
      <w:r>
        <w:rPr>
          <w:rFonts w:ascii="宋体" w:hAnsi="宋体"/>
          <w:bCs/>
          <w:color w:val="FF0000"/>
          <w:sz w:val="24"/>
          <w:szCs w:val="24"/>
          <w:u w:val="single"/>
        </w:rPr>
        <w:t>月</w:t>
      </w:r>
      <w:r>
        <w:rPr>
          <w:rFonts w:hint="eastAsia" w:ascii="宋体" w:hAnsi="宋体"/>
          <w:bCs/>
          <w:color w:val="FF0000"/>
          <w:sz w:val="24"/>
          <w:szCs w:val="24"/>
          <w:u w:val="single"/>
          <w:lang w:val="en-US" w:eastAsia="zh-CN"/>
        </w:rPr>
        <w:t>5</w:t>
      </w:r>
      <w:r>
        <w:rPr>
          <w:rFonts w:ascii="宋体" w:hAnsi="宋体"/>
          <w:bCs/>
          <w:color w:val="FF0000"/>
          <w:sz w:val="24"/>
          <w:szCs w:val="24"/>
          <w:u w:val="single"/>
        </w:rPr>
        <w:t xml:space="preserve"> 日</w:t>
      </w:r>
      <w:r>
        <w:rPr>
          <w:rFonts w:hint="eastAsia" w:ascii="宋体" w:hAnsi="宋体"/>
          <w:bCs/>
          <w:color w:val="FF0000"/>
          <w:sz w:val="24"/>
          <w:szCs w:val="24"/>
          <w:u w:val="single"/>
          <w:lang w:val="en-US" w:eastAsia="zh-CN"/>
        </w:rPr>
        <w:t>14</w:t>
      </w:r>
      <w:r>
        <w:rPr>
          <w:rFonts w:ascii="宋体" w:hAnsi="宋体"/>
          <w:bCs/>
          <w:color w:val="FF0000"/>
          <w:sz w:val="24"/>
          <w:szCs w:val="24"/>
          <w:u w:val="single"/>
        </w:rPr>
        <w:t>点</w:t>
      </w:r>
      <w:r>
        <w:rPr>
          <w:rFonts w:hint="eastAsia" w:ascii="宋体" w:hAnsi="宋体"/>
          <w:bCs/>
          <w:color w:val="FF0000"/>
          <w:sz w:val="24"/>
          <w:szCs w:val="24"/>
          <w:u w:val="single"/>
        </w:rPr>
        <w:t xml:space="preserve"> </w:t>
      </w:r>
      <w:r>
        <w:rPr>
          <w:rFonts w:hint="eastAsia" w:ascii="宋体" w:hAnsi="宋体"/>
          <w:bCs/>
          <w:color w:val="FF0000"/>
          <w:sz w:val="24"/>
          <w:szCs w:val="24"/>
          <w:u w:val="single"/>
          <w:lang w:val="en-US" w:eastAsia="zh-CN"/>
        </w:rPr>
        <w:t>00</w:t>
      </w:r>
      <w:r>
        <w:rPr>
          <w:rFonts w:ascii="宋体" w:hAnsi="宋体"/>
          <w:bCs/>
          <w:color w:val="FF0000"/>
          <w:sz w:val="24"/>
          <w:szCs w:val="24"/>
          <w:u w:val="single"/>
        </w:rPr>
        <w:t xml:space="preserve"> 分</w:t>
      </w:r>
      <w:r>
        <w:rPr>
          <w:rFonts w:hint="eastAsia" w:ascii="宋体" w:hAnsi="宋体"/>
          <w:bCs/>
          <w:color w:val="000000" w:themeColor="text1"/>
          <w:sz w:val="24"/>
          <w:szCs w:val="24"/>
          <w:u w:val="single"/>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北京时间）前递交投标文件</w:t>
      </w:r>
      <w:r>
        <w:rPr>
          <w:rFonts w:hint="eastAsia" w:ascii="宋体" w:hAnsi="宋体"/>
          <w:color w:val="000000" w:themeColor="text1"/>
          <w:sz w:val="24"/>
          <w:szCs w:val="24"/>
          <w14:textFill>
            <w14:solidFill>
              <w14:schemeClr w14:val="tx1"/>
            </w14:solidFill>
          </w14:textFill>
        </w:rPr>
        <w:t>。</w:t>
      </w:r>
    </w:p>
    <w:p>
      <w:pPr>
        <w:pStyle w:val="12"/>
        <w:ind w:left="0" w:leftChars="0"/>
        <w:rPr>
          <w:rFonts w:ascii="宋体" w:hAnsi="宋体" w:cs="宋体"/>
          <w:b/>
          <w:color w:val="000000" w:themeColor="text1"/>
          <w:kern w:val="0"/>
          <w:sz w:val="24"/>
          <w:szCs w:val="24"/>
          <w14:textFill>
            <w14:solidFill>
              <w14:schemeClr w14:val="tx1"/>
            </w14:solidFill>
          </w14:textFill>
        </w:rPr>
      </w:pPr>
      <w:bookmarkStart w:id="27" w:name="_Toc28359079"/>
      <w:bookmarkStart w:id="28" w:name="_Toc35393790"/>
      <w:bookmarkStart w:id="29" w:name="_Toc28359002"/>
      <w:bookmarkStart w:id="30" w:name="_Toc35393621"/>
      <w:bookmarkStart w:id="31" w:name="_Hlk24379207"/>
    </w:p>
    <w:p>
      <w:pPr>
        <w:pStyle w:val="12"/>
        <w:numPr>
          <w:ilvl w:val="0"/>
          <w:numId w:val="1"/>
        </w:numPr>
        <w:spacing w:line="360" w:lineRule="auto"/>
        <w:ind w:left="0" w:leftChars="0"/>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项目基本情况</w:t>
      </w:r>
      <w:bookmarkEnd w:id="27"/>
      <w:bookmarkEnd w:id="28"/>
      <w:bookmarkEnd w:id="29"/>
      <w:bookmarkEnd w:id="30"/>
      <w:r>
        <w:rPr>
          <w:rFonts w:hint="eastAsia" w:ascii="宋体" w:hAnsi="宋体" w:cs="宋体"/>
          <w:b/>
          <w:color w:val="000000" w:themeColor="text1"/>
          <w:kern w:val="0"/>
          <w:sz w:val="24"/>
          <w:szCs w:val="24"/>
          <w14:textFill>
            <w14:solidFill>
              <w14:schemeClr w14:val="tx1"/>
            </w14:solidFill>
          </w14:textFill>
        </w:rPr>
        <w:t>：</w:t>
      </w:r>
    </w:p>
    <w:p>
      <w:pPr>
        <w:pStyle w:val="12"/>
        <w:numPr>
          <w:ilvl w:val="0"/>
          <w:numId w:val="2"/>
        </w:numPr>
        <w:spacing w:line="360" w:lineRule="auto"/>
        <w:ind w:left="0" w:leftChars="0"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项目编号：</w:t>
      </w:r>
      <w:r>
        <w:rPr>
          <w:rFonts w:hint="eastAsia" w:ascii="宋体" w:hAnsi="宋体"/>
          <w:color w:val="000000" w:themeColor="text1"/>
          <w:sz w:val="24"/>
          <w:szCs w:val="24"/>
          <w:u w:val="single"/>
          <w14:textFill>
            <w14:solidFill>
              <w14:schemeClr w14:val="tx1"/>
            </w14:solidFill>
          </w14:textFill>
        </w:rPr>
        <w:t xml:space="preserve">CY-CS-2022005 </w:t>
      </w:r>
    </w:p>
    <w:p>
      <w:pPr>
        <w:pStyle w:val="12"/>
        <w:numPr>
          <w:ilvl w:val="0"/>
          <w:numId w:val="2"/>
        </w:numPr>
        <w:spacing w:line="360" w:lineRule="auto"/>
        <w:ind w:left="0" w:leftChars="0" w:firstLine="480" w:firstLineChars="200"/>
        <w:rPr>
          <w:rFonts w:ascii="宋体" w:hAnsi="宋体"/>
          <w:sz w:val="24"/>
          <w:szCs w:val="24"/>
        </w:rPr>
      </w:pPr>
      <w:r>
        <w:rPr>
          <w:rFonts w:hint="eastAsia" w:ascii="宋体" w:hAnsi="宋体"/>
          <w:sz w:val="24"/>
          <w:szCs w:val="24"/>
        </w:rPr>
        <w:t>项目名称：</w:t>
      </w:r>
      <w:bookmarkEnd w:id="31"/>
      <w:r>
        <w:rPr>
          <w:rFonts w:hint="eastAsia" w:ascii="宋体" w:hAnsi="宋体"/>
          <w:sz w:val="24"/>
          <w:szCs w:val="24"/>
          <w:u w:val="single"/>
          <w:lang w:eastAsia="zh-CN"/>
        </w:rPr>
        <w:t>新堂路金碧辉园区改造</w:t>
      </w:r>
    </w:p>
    <w:p>
      <w:pPr>
        <w:pStyle w:val="12"/>
        <w:numPr>
          <w:ilvl w:val="0"/>
          <w:numId w:val="2"/>
        </w:numPr>
        <w:spacing w:line="360" w:lineRule="auto"/>
        <w:ind w:left="0" w:leftChars="0" w:firstLine="480" w:firstLineChars="200"/>
        <w:rPr>
          <w:rFonts w:ascii="宋体" w:hAnsi="宋体"/>
          <w:sz w:val="24"/>
          <w:szCs w:val="24"/>
        </w:rPr>
      </w:pPr>
      <w:r>
        <w:rPr>
          <w:rFonts w:hint="eastAsia" w:ascii="宋体" w:hAnsi="宋体"/>
          <w:sz w:val="24"/>
          <w:szCs w:val="24"/>
        </w:rPr>
        <w:t>预算金额：</w:t>
      </w:r>
      <w:r>
        <w:rPr>
          <w:rFonts w:hint="eastAsia" w:ascii="宋体" w:hAnsi="宋体"/>
          <w:sz w:val="24"/>
          <w:szCs w:val="24"/>
          <w:u w:val="single"/>
        </w:rPr>
        <w:t xml:space="preserve"> 287858.75元</w:t>
      </w:r>
    </w:p>
    <w:p>
      <w:pPr>
        <w:pStyle w:val="12"/>
        <w:numPr>
          <w:ilvl w:val="0"/>
          <w:numId w:val="2"/>
        </w:numPr>
        <w:spacing w:line="360" w:lineRule="auto"/>
        <w:ind w:left="0" w:leftChars="0" w:firstLine="480" w:firstLineChars="200"/>
        <w:rPr>
          <w:rFonts w:ascii="宋体" w:hAnsi="宋体"/>
          <w:sz w:val="24"/>
          <w:szCs w:val="24"/>
        </w:rPr>
      </w:pPr>
      <w:r>
        <w:rPr>
          <w:rFonts w:hint="eastAsia" w:ascii="宋体" w:hAnsi="宋体"/>
          <w:sz w:val="24"/>
          <w:szCs w:val="24"/>
        </w:rPr>
        <w:t>最高限价：</w:t>
      </w:r>
      <w:r>
        <w:rPr>
          <w:rFonts w:hint="eastAsia" w:ascii="宋体" w:hAnsi="宋体"/>
          <w:sz w:val="24"/>
          <w:szCs w:val="24"/>
          <w:u w:val="single"/>
        </w:rPr>
        <w:t xml:space="preserve"> 287858.75元</w:t>
      </w:r>
    </w:p>
    <w:p>
      <w:pPr>
        <w:pStyle w:val="12"/>
        <w:numPr>
          <w:ilvl w:val="0"/>
          <w:numId w:val="2"/>
        </w:numPr>
        <w:spacing w:line="360" w:lineRule="auto"/>
        <w:ind w:left="0" w:leftChars="0" w:firstLine="480" w:firstLineChars="200"/>
        <w:rPr>
          <w:rFonts w:ascii="宋体" w:hAnsi="宋体" w:cs="宋体"/>
          <w:sz w:val="24"/>
          <w:szCs w:val="24"/>
        </w:rPr>
      </w:pPr>
      <w:r>
        <w:rPr>
          <w:rFonts w:hint="eastAsia" w:ascii="宋体" w:hAnsi="宋体"/>
          <w:sz w:val="24"/>
          <w:szCs w:val="24"/>
        </w:rPr>
        <w:t>采购需求：新堂路金碧辉园改，具体改造内容参考第七章。</w:t>
      </w:r>
    </w:p>
    <w:p>
      <w:pPr>
        <w:pStyle w:val="12"/>
        <w:numPr>
          <w:ilvl w:val="0"/>
          <w:numId w:val="2"/>
        </w:numPr>
        <w:spacing w:line="360" w:lineRule="auto"/>
        <w:ind w:left="0" w:leftChars="0" w:firstLine="480" w:firstLineChars="200"/>
        <w:rPr>
          <w:rFonts w:ascii="宋体" w:hAnsi="宋体" w:cs="宋体"/>
          <w:sz w:val="24"/>
          <w:szCs w:val="24"/>
        </w:rPr>
      </w:pPr>
      <w:r>
        <w:rPr>
          <w:rFonts w:hint="eastAsia" w:ascii="宋体" w:hAnsi="宋体" w:cs="宋体"/>
          <w:sz w:val="24"/>
          <w:szCs w:val="24"/>
        </w:rPr>
        <w:t>合同履行期限：</w:t>
      </w:r>
      <w:r>
        <w:rPr>
          <w:rFonts w:hint="eastAsia" w:ascii="宋体" w:hAnsi="宋体" w:cs="宋体"/>
          <w:color w:val="auto"/>
          <w:sz w:val="24"/>
          <w:szCs w:val="24"/>
        </w:rPr>
        <w:t>施工</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45</w:t>
      </w:r>
      <w:r>
        <w:rPr>
          <w:rFonts w:hint="eastAsia" w:ascii="宋体" w:hAnsi="宋体" w:cs="宋体"/>
          <w:color w:val="auto"/>
          <w:sz w:val="24"/>
          <w:szCs w:val="24"/>
          <w:u w:val="single"/>
        </w:rPr>
        <w:t xml:space="preserve">   </w:t>
      </w:r>
      <w:r>
        <w:rPr>
          <w:rFonts w:hint="eastAsia" w:ascii="宋体" w:hAnsi="宋体" w:cs="宋体"/>
          <w:color w:val="auto"/>
          <w:sz w:val="24"/>
          <w:szCs w:val="24"/>
        </w:rPr>
        <w:t>天；质保</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sz w:val="24"/>
          <w:szCs w:val="24"/>
        </w:rPr>
        <w:t>；进场时间以采购人书面通知为准。</w:t>
      </w:r>
    </w:p>
    <w:p>
      <w:pPr>
        <w:pStyle w:val="49"/>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b/>
          <w:bCs/>
          <w:sz w:val="24"/>
          <w:szCs w:val="24"/>
        </w:rPr>
        <w:t>本项目不接受联合体招标</w:t>
      </w:r>
    </w:p>
    <w:p>
      <w:pPr>
        <w:pStyle w:val="3"/>
        <w:spacing w:line="360" w:lineRule="auto"/>
        <w:rPr>
          <w:color w:val="FF0000"/>
          <w:sz w:val="24"/>
          <w:szCs w:val="28"/>
        </w:rPr>
      </w:pPr>
    </w:p>
    <w:p>
      <w:pPr>
        <w:pStyle w:val="5"/>
        <w:snapToGrid w:val="0"/>
        <w:spacing w:line="360" w:lineRule="auto"/>
        <w:rPr>
          <w:rFonts w:ascii="宋体" w:hAnsi="宋体" w:eastAsia="宋体" w:cs="宋体"/>
          <w:b/>
          <w:sz w:val="24"/>
          <w:szCs w:val="24"/>
        </w:rPr>
      </w:pPr>
      <w:bookmarkStart w:id="32" w:name="_Toc35393791"/>
      <w:bookmarkStart w:id="33" w:name="_Toc28359003"/>
      <w:bookmarkStart w:id="34" w:name="_Toc35393622"/>
      <w:bookmarkStart w:id="35" w:name="_Toc28359080"/>
      <w:r>
        <w:rPr>
          <w:rFonts w:hint="eastAsia" w:ascii="宋体" w:hAnsi="宋体" w:eastAsia="宋体" w:cs="宋体"/>
          <w:b/>
          <w:sz w:val="24"/>
          <w:szCs w:val="24"/>
        </w:rPr>
        <w:t>二、申请人的资格要求：</w:t>
      </w:r>
      <w:bookmarkEnd w:id="32"/>
      <w:bookmarkEnd w:id="33"/>
      <w:bookmarkEnd w:id="34"/>
      <w:bookmarkEnd w:id="35"/>
    </w:p>
    <w:p>
      <w:pPr>
        <w:snapToGrid w:val="0"/>
        <w:spacing w:line="360" w:lineRule="auto"/>
        <w:ind w:firstLine="480" w:firstLineChars="200"/>
        <w:rPr>
          <w:rFonts w:ascii="宋体" w:hAnsi="宋体"/>
          <w:sz w:val="24"/>
          <w:szCs w:val="24"/>
        </w:rPr>
      </w:pPr>
      <w:r>
        <w:rPr>
          <w:rFonts w:hint="eastAsia" w:ascii="宋体" w:hAnsi="宋体"/>
          <w:sz w:val="24"/>
          <w:szCs w:val="24"/>
        </w:rPr>
        <w:t>1.满足《中华人民共和国政府采购法》第二十二条规定；</w:t>
      </w:r>
    </w:p>
    <w:p>
      <w:pPr>
        <w:shd w:val="clear" w:color="auto" w:fill="FFFFFF"/>
        <w:spacing w:after="150" w:line="360" w:lineRule="auto"/>
        <w:ind w:firstLine="960" w:firstLineChars="400"/>
        <w:rPr>
          <w:rFonts w:ascii="Arial" w:hAnsi="Arial" w:cs="Arial"/>
          <w:color w:val="000000"/>
          <w:kern w:val="0"/>
          <w:sz w:val="24"/>
          <w:szCs w:val="24"/>
        </w:rPr>
      </w:pPr>
      <w:bookmarkStart w:id="36" w:name="_Toc28359004"/>
      <w:bookmarkStart w:id="37" w:name="_Toc28359081"/>
      <w:r>
        <w:rPr>
          <w:rFonts w:cs="Calibri"/>
          <w:color w:val="000000"/>
          <w:kern w:val="0"/>
          <w:sz w:val="24"/>
          <w:szCs w:val="24"/>
        </w:rPr>
        <w:t>1.1 </w:t>
      </w:r>
      <w:r>
        <w:rPr>
          <w:rFonts w:hint="eastAsia" w:ascii="宋体" w:hAnsi="宋体" w:cs="Arial"/>
          <w:color w:val="000000"/>
          <w:kern w:val="0"/>
          <w:sz w:val="24"/>
          <w:szCs w:val="24"/>
        </w:rPr>
        <w:t>具有独立承担民事责任的能力。</w:t>
      </w:r>
    </w:p>
    <w:p>
      <w:pPr>
        <w:widowControl/>
        <w:shd w:val="clear" w:color="auto" w:fill="FFFFFF"/>
        <w:spacing w:after="150" w:line="360" w:lineRule="auto"/>
        <w:ind w:firstLine="960" w:firstLineChars="400"/>
        <w:rPr>
          <w:rFonts w:ascii="宋体" w:hAnsi="宋体" w:cs="Arial"/>
          <w:color w:val="000000"/>
          <w:kern w:val="0"/>
          <w:sz w:val="24"/>
          <w:szCs w:val="24"/>
        </w:rPr>
      </w:pPr>
      <w:r>
        <w:rPr>
          <w:rFonts w:cs="Calibri"/>
          <w:color w:val="000000"/>
          <w:kern w:val="0"/>
          <w:sz w:val="24"/>
          <w:szCs w:val="24"/>
        </w:rPr>
        <w:t>1.2</w:t>
      </w:r>
      <w:r>
        <w:rPr>
          <w:rFonts w:hint="eastAsia" w:ascii="宋体" w:hAnsi="宋体" w:cs="Arial"/>
          <w:color w:val="000000"/>
          <w:kern w:val="0"/>
          <w:sz w:val="24"/>
          <w:szCs w:val="24"/>
        </w:rPr>
        <w:t>具有良好的商业</w:t>
      </w:r>
      <w:r>
        <w:rPr>
          <w:rFonts w:hint="eastAsia" w:cs="Calibri"/>
          <w:color w:val="000000"/>
          <w:kern w:val="0"/>
          <w:sz w:val="24"/>
          <w:szCs w:val="24"/>
        </w:rPr>
        <w:t>信誉</w:t>
      </w:r>
      <w:r>
        <w:rPr>
          <w:rFonts w:hint="eastAsia" w:ascii="宋体" w:hAnsi="宋体" w:cs="Arial"/>
          <w:color w:val="000000"/>
          <w:kern w:val="0"/>
          <w:sz w:val="24"/>
          <w:szCs w:val="24"/>
        </w:rPr>
        <w:t>。</w:t>
      </w:r>
    </w:p>
    <w:p>
      <w:pPr>
        <w:pStyle w:val="3"/>
        <w:spacing w:line="360" w:lineRule="auto"/>
        <w:ind w:firstLine="960" w:firstLineChars="400"/>
        <w:rPr>
          <w:sz w:val="24"/>
          <w:szCs w:val="24"/>
        </w:rPr>
      </w:pPr>
      <w:r>
        <w:rPr>
          <w:rFonts w:hint="eastAsia" w:cs="Calibri"/>
          <w:color w:val="000000"/>
          <w:kern w:val="0"/>
          <w:sz w:val="24"/>
          <w:szCs w:val="24"/>
        </w:rPr>
        <w:t>1.3具有履行合同所必需的设备和专业技术能力。</w:t>
      </w:r>
    </w:p>
    <w:p>
      <w:pPr>
        <w:widowControl/>
        <w:shd w:val="clear" w:color="auto" w:fill="FFFFFF"/>
        <w:spacing w:after="150" w:line="360" w:lineRule="auto"/>
        <w:ind w:firstLine="960" w:firstLineChars="400"/>
        <w:rPr>
          <w:rFonts w:ascii="Arial" w:hAnsi="Arial" w:cs="Arial"/>
          <w:color w:val="000000"/>
          <w:kern w:val="0"/>
          <w:sz w:val="24"/>
          <w:szCs w:val="24"/>
        </w:rPr>
      </w:pPr>
      <w:r>
        <w:rPr>
          <w:rFonts w:cs="Calibri"/>
          <w:color w:val="000000"/>
          <w:kern w:val="0"/>
          <w:sz w:val="24"/>
          <w:szCs w:val="24"/>
        </w:rPr>
        <w:t>1.</w:t>
      </w:r>
      <w:r>
        <w:rPr>
          <w:rFonts w:hint="eastAsia" w:cs="Calibri"/>
          <w:color w:val="000000"/>
          <w:kern w:val="0"/>
          <w:sz w:val="24"/>
          <w:szCs w:val="24"/>
        </w:rPr>
        <w:t>4</w:t>
      </w:r>
      <w:r>
        <w:rPr>
          <w:rFonts w:hint="eastAsia" w:ascii="宋体" w:hAnsi="宋体" w:cs="Arial"/>
          <w:color w:val="000000"/>
          <w:kern w:val="0"/>
          <w:sz w:val="24"/>
          <w:szCs w:val="24"/>
        </w:rPr>
        <w:t>有依法缴纳税收和社会保障资金的良好记录。</w:t>
      </w:r>
    </w:p>
    <w:p>
      <w:pPr>
        <w:widowControl/>
        <w:shd w:val="clear" w:color="auto" w:fill="FFFFFF"/>
        <w:spacing w:after="150" w:line="360" w:lineRule="auto"/>
        <w:ind w:firstLine="960" w:firstLineChars="400"/>
        <w:rPr>
          <w:rFonts w:ascii="Arial" w:hAnsi="Arial" w:cs="Arial"/>
          <w:color w:val="000000"/>
          <w:kern w:val="0"/>
          <w:sz w:val="24"/>
          <w:szCs w:val="24"/>
        </w:rPr>
      </w:pPr>
      <w:r>
        <w:rPr>
          <w:rFonts w:cs="Calibri"/>
          <w:color w:val="000000"/>
          <w:kern w:val="0"/>
          <w:sz w:val="24"/>
          <w:szCs w:val="24"/>
        </w:rPr>
        <w:t>1.</w:t>
      </w:r>
      <w:r>
        <w:rPr>
          <w:rFonts w:hint="eastAsia" w:cs="Calibri"/>
          <w:color w:val="000000"/>
          <w:kern w:val="0"/>
          <w:sz w:val="24"/>
          <w:szCs w:val="24"/>
        </w:rPr>
        <w:t>5</w:t>
      </w:r>
      <w:r>
        <w:rPr>
          <w:rFonts w:hint="eastAsia" w:ascii="宋体" w:hAnsi="宋体" w:cs="Arial"/>
          <w:color w:val="000000"/>
          <w:kern w:val="0"/>
          <w:sz w:val="24"/>
          <w:szCs w:val="24"/>
        </w:rPr>
        <w:t>参加本次招投标活动前三年内，在经营活动中没有重大违法记录。</w:t>
      </w:r>
    </w:p>
    <w:p>
      <w:pPr>
        <w:snapToGrid w:val="0"/>
        <w:spacing w:line="360" w:lineRule="auto"/>
        <w:ind w:firstLine="480" w:firstLineChars="200"/>
        <w:rPr>
          <w:rFonts w:ascii="宋体" w:hAnsi="宋体"/>
          <w:sz w:val="24"/>
          <w:szCs w:val="24"/>
          <w:u w:val="single"/>
        </w:rPr>
      </w:pPr>
      <w:r>
        <w:rPr>
          <w:rFonts w:hint="eastAsia" w:ascii="宋体" w:hAnsi="宋体"/>
          <w:sz w:val="24"/>
          <w:szCs w:val="24"/>
        </w:rPr>
        <w:t>2.落实政府采购政策需满足的资格要求：无</w:t>
      </w:r>
    </w:p>
    <w:p>
      <w:pPr>
        <w:snapToGrid w:val="0"/>
        <w:spacing w:line="360" w:lineRule="auto"/>
        <w:ind w:firstLine="480" w:firstLineChars="200"/>
        <w:rPr>
          <w:rFonts w:ascii="宋体" w:hAnsi="宋体"/>
          <w:sz w:val="24"/>
          <w:szCs w:val="24"/>
        </w:rPr>
      </w:pPr>
      <w:bookmarkStart w:id="38" w:name="_Toc35393792"/>
      <w:bookmarkStart w:id="39" w:name="_Toc35393623"/>
      <w:r>
        <w:rPr>
          <w:rFonts w:hint="eastAsia" w:ascii="宋体" w:hAnsi="宋体"/>
          <w:sz w:val="24"/>
          <w:szCs w:val="24"/>
        </w:rPr>
        <w:t>3</w:t>
      </w:r>
      <w:r>
        <w:rPr>
          <w:rFonts w:ascii="宋体" w:hAnsi="宋体"/>
          <w:sz w:val="24"/>
          <w:szCs w:val="24"/>
        </w:rPr>
        <w:t>.</w:t>
      </w:r>
      <w:r>
        <w:rPr>
          <w:rFonts w:hint="eastAsia" w:ascii="宋体" w:hAnsi="宋体"/>
          <w:sz w:val="24"/>
          <w:szCs w:val="24"/>
        </w:rPr>
        <w:t>未被“信用中国”网站（WWW.creditchina.gov.cn）或“中国政府采购网”网站（www.ccgp.gov.cn）列入失信被执行人、重大税收违法案件当事人名单、政府采购严重失信行为记录名单；</w:t>
      </w:r>
    </w:p>
    <w:p>
      <w:pPr>
        <w:snapToGrid w:val="0"/>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单位负责人为同一人或者存在直接控股、管理关系的不同供应商（包含法定代表人为同一个人的两个及两个以上法人，母公司、全资子公司及其控股公司），不得参加同一合同项下的政府采购活动。</w:t>
      </w:r>
    </w:p>
    <w:p>
      <w:pPr>
        <w:snapToGrid w:val="0"/>
        <w:spacing w:line="360" w:lineRule="auto"/>
        <w:ind w:firstLine="480" w:firstLineChars="200"/>
        <w:rPr>
          <w:rFonts w:ascii="宋体" w:hAnsi="宋体"/>
          <w:iCs/>
          <w:sz w:val="24"/>
          <w:szCs w:val="24"/>
        </w:rPr>
      </w:pPr>
      <w:r>
        <w:rPr>
          <w:rFonts w:hint="eastAsia" w:ascii="宋体" w:hAnsi="宋体"/>
          <w:iCs/>
          <w:sz w:val="24"/>
          <w:szCs w:val="24"/>
        </w:rPr>
        <w:t>5</w:t>
      </w:r>
      <w:r>
        <w:rPr>
          <w:rFonts w:ascii="宋体" w:hAnsi="宋体"/>
          <w:iCs/>
          <w:sz w:val="24"/>
          <w:szCs w:val="24"/>
        </w:rPr>
        <w:t>.</w:t>
      </w:r>
      <w:r>
        <w:rPr>
          <w:rFonts w:hint="eastAsia" w:ascii="宋体" w:hAnsi="宋体"/>
          <w:iCs/>
          <w:sz w:val="24"/>
          <w:szCs w:val="24"/>
        </w:rPr>
        <w:t xml:space="preserve">采购人的其他特定资格要求： </w:t>
      </w:r>
    </w:p>
    <w:p>
      <w:pPr>
        <w:pStyle w:val="45"/>
        <w:spacing w:line="360" w:lineRule="auto"/>
        <w:ind w:firstLine="720" w:firstLineChars="300"/>
        <w:rPr>
          <w:rFonts w:ascii="宋体" w:hAnsi="宋体" w:cs="宋体"/>
          <w:kern w:val="0"/>
          <w:sz w:val="24"/>
          <w:shd w:val="clear" w:color="auto" w:fill="FFFFFF"/>
        </w:rPr>
      </w:pPr>
      <w:r>
        <w:rPr>
          <w:rFonts w:hint="eastAsia" w:asciiTheme="minorEastAsia" w:hAnsiTheme="minorEastAsia" w:eastAsiaTheme="minorEastAsia" w:cstheme="minorEastAsia"/>
          <w:kern w:val="0"/>
          <w:sz w:val="24"/>
          <w:lang w:bidi="ar"/>
        </w:rPr>
        <w:t>5.1</w:t>
      </w:r>
      <w:r>
        <w:rPr>
          <w:rFonts w:hint="eastAsia" w:ascii="宋体" w:hAnsi="宋体" w:cs="宋体"/>
          <w:kern w:val="0"/>
          <w:sz w:val="24"/>
          <w:shd w:val="clear" w:color="auto" w:fill="FFFFFF"/>
        </w:rPr>
        <w:t>提供有效的营业执照；</w:t>
      </w:r>
    </w:p>
    <w:p>
      <w:pPr>
        <w:pStyle w:val="45"/>
        <w:spacing w:line="360" w:lineRule="auto"/>
        <w:ind w:firstLine="720" w:firstLineChars="300"/>
        <w:rPr>
          <w:rFonts w:ascii="宋体" w:hAnsi="宋体" w:cs="宋体"/>
          <w:kern w:val="0"/>
          <w:sz w:val="24"/>
          <w:shd w:val="clear" w:color="auto" w:fill="FFFFFF"/>
        </w:rPr>
      </w:pPr>
      <w:r>
        <w:rPr>
          <w:rFonts w:hint="eastAsia" w:ascii="宋体" w:hAnsi="宋体" w:cs="宋体"/>
          <w:sz w:val="24"/>
        </w:rPr>
        <w:t>5.</w:t>
      </w:r>
      <w:r>
        <w:rPr>
          <w:rFonts w:ascii="宋体" w:hAnsi="宋体" w:cs="宋体"/>
          <w:sz w:val="24"/>
        </w:rPr>
        <w:t>2</w:t>
      </w:r>
      <w:r>
        <w:rPr>
          <w:rFonts w:hint="eastAsia" w:ascii="宋体" w:hAnsi="宋体" w:cs="宋体"/>
          <w:sz w:val="24"/>
        </w:rPr>
        <w:t>拟派项目负责人无在建工程，提供无在建承诺书，且中标后不得更换项目负责人，如需更换项目负责人，需经过甲方项目承办单位同意。</w:t>
      </w:r>
    </w:p>
    <w:p>
      <w:pPr>
        <w:snapToGrid w:val="0"/>
        <w:spacing w:line="360" w:lineRule="auto"/>
        <w:rPr>
          <w:rFonts w:ascii="宋体" w:hAnsi="宋体" w:cs="宋体"/>
          <w:b/>
          <w:sz w:val="24"/>
          <w:szCs w:val="24"/>
        </w:rPr>
      </w:pPr>
      <w:r>
        <w:rPr>
          <w:rFonts w:hint="eastAsia" w:ascii="宋体" w:hAnsi="宋体" w:cs="宋体"/>
          <w:b/>
          <w:sz w:val="24"/>
          <w:szCs w:val="24"/>
        </w:rPr>
        <w:t>三、获取招标文件</w:t>
      </w:r>
      <w:bookmarkEnd w:id="36"/>
      <w:bookmarkEnd w:id="37"/>
      <w:bookmarkEnd w:id="38"/>
      <w:bookmarkEnd w:id="39"/>
    </w:p>
    <w:p>
      <w:pPr>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color w:val="FF0000"/>
          <w:sz w:val="24"/>
          <w:szCs w:val="24"/>
          <w:u w:val="single"/>
        </w:rPr>
        <w:t>2022年</w:t>
      </w:r>
      <w:r>
        <w:rPr>
          <w:rFonts w:hint="eastAsia" w:asciiTheme="minorEastAsia" w:hAnsiTheme="minorEastAsia" w:eastAsiaTheme="minorEastAsia" w:cstheme="minorEastAsia"/>
          <w:color w:val="FF0000"/>
          <w:sz w:val="24"/>
          <w:szCs w:val="24"/>
          <w:u w:val="single"/>
          <w:lang w:val="en-US" w:eastAsia="zh-CN"/>
        </w:rPr>
        <w:t>7</w:t>
      </w:r>
      <w:r>
        <w:rPr>
          <w:rFonts w:hint="eastAsia" w:asciiTheme="minorEastAsia" w:hAnsiTheme="minorEastAsia" w:eastAsiaTheme="minorEastAsia" w:cstheme="minorEastAsia"/>
          <w:color w:val="FF0000"/>
          <w:sz w:val="24"/>
          <w:szCs w:val="24"/>
          <w:u w:val="single"/>
        </w:rPr>
        <w:t>月</w:t>
      </w:r>
      <w:r>
        <w:rPr>
          <w:rFonts w:hint="eastAsia" w:asciiTheme="minorEastAsia" w:hAnsiTheme="minorEastAsia" w:eastAsiaTheme="minorEastAsia" w:cstheme="minorEastAsia"/>
          <w:color w:val="FF0000"/>
          <w:sz w:val="24"/>
          <w:szCs w:val="24"/>
          <w:u w:val="single"/>
          <w:lang w:val="en-US" w:eastAsia="zh-CN"/>
        </w:rPr>
        <w:t>27</w:t>
      </w:r>
      <w:r>
        <w:rPr>
          <w:rFonts w:hint="eastAsia" w:asciiTheme="minorEastAsia" w:hAnsiTheme="minorEastAsia" w:eastAsiaTheme="minorEastAsia" w:cstheme="minorEastAsia"/>
          <w:color w:val="FF0000"/>
          <w:sz w:val="24"/>
          <w:szCs w:val="24"/>
          <w:u w:val="single"/>
        </w:rPr>
        <w:t>日</w:t>
      </w:r>
      <w:r>
        <w:rPr>
          <w:rFonts w:hint="eastAsia" w:asciiTheme="minorEastAsia" w:hAnsiTheme="minorEastAsia" w:eastAsiaTheme="minorEastAsia" w:cstheme="minorEastAsia"/>
          <w:color w:val="FF0000"/>
          <w:sz w:val="24"/>
          <w:szCs w:val="24"/>
        </w:rPr>
        <w:t>至</w:t>
      </w:r>
      <w:r>
        <w:rPr>
          <w:rFonts w:hint="eastAsia" w:asciiTheme="minorEastAsia" w:hAnsiTheme="minorEastAsia" w:eastAsiaTheme="minorEastAsia" w:cstheme="minorEastAsia"/>
          <w:color w:val="FF0000"/>
          <w:sz w:val="24"/>
          <w:szCs w:val="24"/>
          <w:u w:val="single"/>
        </w:rPr>
        <w:t>2022年</w:t>
      </w:r>
      <w:r>
        <w:rPr>
          <w:rFonts w:hint="eastAsia" w:asciiTheme="minorEastAsia" w:hAnsiTheme="minorEastAsia" w:eastAsiaTheme="minorEastAsia" w:cstheme="minorEastAsia"/>
          <w:color w:val="FF0000"/>
          <w:sz w:val="24"/>
          <w:szCs w:val="24"/>
          <w:u w:val="single"/>
          <w:lang w:val="en-US" w:eastAsia="zh-CN"/>
        </w:rPr>
        <w:t>8</w:t>
      </w:r>
      <w:r>
        <w:rPr>
          <w:rFonts w:hint="eastAsia" w:asciiTheme="minorEastAsia" w:hAnsiTheme="minorEastAsia" w:eastAsiaTheme="minorEastAsia" w:cstheme="minorEastAsia"/>
          <w:color w:val="FF0000"/>
          <w:sz w:val="24"/>
          <w:szCs w:val="24"/>
          <w:u w:val="single"/>
        </w:rPr>
        <w:t>月</w:t>
      </w:r>
      <w:r>
        <w:rPr>
          <w:rFonts w:hint="eastAsia" w:asciiTheme="minorEastAsia" w:hAnsiTheme="minorEastAsia" w:eastAsiaTheme="minorEastAsia" w:cstheme="minorEastAsia"/>
          <w:color w:val="FF0000"/>
          <w:sz w:val="24"/>
          <w:szCs w:val="24"/>
          <w:u w:val="single"/>
          <w:lang w:val="en-US" w:eastAsia="zh-CN"/>
        </w:rPr>
        <w:t>3</w:t>
      </w:r>
      <w:r>
        <w:rPr>
          <w:rFonts w:hint="eastAsia" w:asciiTheme="minorEastAsia" w:hAnsiTheme="minorEastAsia" w:eastAsiaTheme="minorEastAsia" w:cstheme="minorEastAsia"/>
          <w:color w:val="FF0000"/>
          <w:sz w:val="24"/>
          <w:szCs w:val="24"/>
          <w:u w:val="single"/>
        </w:rPr>
        <w:t>日</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sz w:val="24"/>
          <w:szCs w:val="24"/>
        </w:rPr>
        <w:t>工作日每天上午</w:t>
      </w:r>
      <w:r>
        <w:rPr>
          <w:rFonts w:hint="eastAsia" w:asciiTheme="minorEastAsia" w:hAnsiTheme="minorEastAsia" w:eastAsiaTheme="minorEastAsia" w:cstheme="minorEastAsia"/>
          <w:sz w:val="24"/>
          <w:szCs w:val="24"/>
          <w:u w:val="single"/>
        </w:rPr>
        <w:t xml:space="preserve"> 9:00  </w:t>
      </w:r>
      <w:r>
        <w:rPr>
          <w:rFonts w:hint="eastAsia" w:asciiTheme="minorEastAsia" w:hAnsiTheme="minorEastAsia" w:eastAsiaTheme="minorEastAsia" w:cstheme="minorEastAsia"/>
          <w:sz w:val="24"/>
          <w:szCs w:val="24"/>
        </w:rPr>
        <w:t>至下午</w:t>
      </w:r>
      <w:r>
        <w:rPr>
          <w:rFonts w:hint="eastAsia" w:asciiTheme="minorEastAsia" w:hAnsiTheme="minorEastAsia" w:eastAsiaTheme="minorEastAsia" w:cstheme="minorEastAsia"/>
          <w:sz w:val="24"/>
          <w:szCs w:val="24"/>
          <w:u w:val="single"/>
        </w:rPr>
        <w:t xml:space="preserve"> 17:00 </w:t>
      </w:r>
      <w:r>
        <w:rPr>
          <w:rFonts w:hint="eastAsia" w:asciiTheme="minorEastAsia" w:hAnsiTheme="minorEastAsia" w:eastAsiaTheme="minorEastAsia" w:cstheme="minorEastAsia"/>
          <w:sz w:val="24"/>
          <w:szCs w:val="24"/>
        </w:rPr>
        <w:t xml:space="preserve"> （北京时间，法定节假日除外）</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地点：常州市天宁区弘智路7号B座</w:t>
      </w:r>
      <w:bookmarkStart w:id="119" w:name="_GoBack"/>
      <w:bookmarkEnd w:id="119"/>
      <w:r>
        <w:rPr>
          <w:rFonts w:hint="eastAsia" w:ascii="宋体" w:hAnsi="宋体"/>
          <w:color w:val="000000" w:themeColor="text1"/>
          <w:sz w:val="24"/>
          <w:szCs w:val="24"/>
          <w14:textFill>
            <w14:solidFill>
              <w14:schemeClr w14:val="tx1"/>
            </w14:solidFill>
          </w14:textFill>
        </w:rPr>
        <w:t>3楼</w:t>
      </w:r>
    </w:p>
    <w:p>
      <w:pPr>
        <w:snapToGrid w:val="0"/>
        <w:spacing w:line="360" w:lineRule="auto"/>
        <w:ind w:firstLine="480" w:firstLineChars="20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方式：现场报名</w:t>
      </w:r>
      <w:r>
        <w:rPr>
          <w:rFonts w:hint="eastAsia" w:ascii="宋体" w:hAnsi="宋体"/>
          <w:color w:val="000000" w:themeColor="text1"/>
          <w:sz w:val="24"/>
          <w:szCs w:val="24"/>
          <w:lang w:val="en-US" w:eastAsia="zh-CN"/>
          <w14:textFill>
            <w14:solidFill>
              <w14:schemeClr w14:val="tx1"/>
            </w14:solidFill>
          </w14:textFill>
        </w:rPr>
        <w:t>(报名时请携带报名表及营业执照复印件并加盖公章）</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u w:val="single"/>
          <w14:textFill>
            <w14:solidFill>
              <w14:schemeClr w14:val="tx1"/>
            </w14:solidFill>
          </w14:textFill>
        </w:rPr>
        <w:t xml:space="preserve"> 500 </w:t>
      </w:r>
      <w:r>
        <w:rPr>
          <w:rFonts w:hint="eastAsia" w:ascii="宋体" w:hAnsi="宋体" w:cs="宋体"/>
          <w:color w:val="000000" w:themeColor="text1"/>
          <w:sz w:val="24"/>
          <w:szCs w:val="24"/>
          <w14:textFill>
            <w14:solidFill>
              <w14:schemeClr w14:val="tx1"/>
            </w14:solidFill>
          </w14:textFill>
        </w:rPr>
        <w:t>元/份。</w:t>
      </w:r>
    </w:p>
    <w:p>
      <w:pPr>
        <w:pStyle w:val="5"/>
        <w:snapToGrid w:val="0"/>
        <w:spacing w:line="360" w:lineRule="auto"/>
        <w:rPr>
          <w:rFonts w:ascii="宋体" w:hAnsi="宋体" w:eastAsia="宋体" w:cs="宋体"/>
          <w:b/>
          <w:color w:val="000000" w:themeColor="text1"/>
          <w:sz w:val="24"/>
          <w:szCs w:val="24"/>
          <w14:textFill>
            <w14:solidFill>
              <w14:schemeClr w14:val="tx1"/>
            </w14:solidFill>
          </w14:textFill>
        </w:rPr>
      </w:pPr>
      <w:bookmarkStart w:id="40" w:name="_Toc28359082"/>
      <w:bookmarkStart w:id="41" w:name="_Toc28359005"/>
      <w:bookmarkStart w:id="42" w:name="_Toc35393624"/>
      <w:bookmarkStart w:id="43" w:name="_Toc35393793"/>
      <w:r>
        <w:rPr>
          <w:rFonts w:hint="eastAsia" w:ascii="宋体" w:hAnsi="宋体" w:eastAsia="宋体" w:cs="宋体"/>
          <w:b/>
          <w:color w:val="000000" w:themeColor="text1"/>
          <w:sz w:val="24"/>
          <w:szCs w:val="24"/>
          <w14:textFill>
            <w14:solidFill>
              <w14:schemeClr w14:val="tx1"/>
            </w14:solidFill>
          </w14:textFill>
        </w:rPr>
        <w:t>四、提交投标文件</w:t>
      </w:r>
      <w:bookmarkEnd w:id="40"/>
      <w:bookmarkEnd w:id="41"/>
      <w:r>
        <w:rPr>
          <w:rFonts w:hint="eastAsia" w:ascii="宋体" w:hAnsi="宋体" w:eastAsia="宋体" w:cs="宋体"/>
          <w:b/>
          <w:color w:val="000000" w:themeColor="text1"/>
          <w:sz w:val="24"/>
          <w:szCs w:val="24"/>
          <w14:textFill>
            <w14:solidFill>
              <w14:schemeClr w14:val="tx1"/>
            </w14:solidFill>
          </w14:textFill>
        </w:rPr>
        <w:t>截止时间和地点</w:t>
      </w:r>
      <w:bookmarkEnd w:id="42"/>
      <w:bookmarkEnd w:id="43"/>
    </w:p>
    <w:p>
      <w:pPr>
        <w:snapToGri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截止时间（即开标时间）：</w:t>
      </w:r>
      <w:r>
        <w:rPr>
          <w:rFonts w:hint="eastAsia" w:ascii="宋体" w:hAnsi="宋体"/>
          <w:bCs/>
          <w:color w:val="FF0000"/>
          <w:sz w:val="24"/>
          <w:szCs w:val="24"/>
          <w:u w:val="single"/>
          <w:lang w:eastAsia="zh-CN"/>
        </w:rPr>
        <w:t>2022年8月</w:t>
      </w:r>
      <w:r>
        <w:rPr>
          <w:rFonts w:hint="eastAsia" w:ascii="宋体" w:hAnsi="宋体"/>
          <w:bCs/>
          <w:color w:val="FF0000"/>
          <w:sz w:val="24"/>
          <w:szCs w:val="24"/>
          <w:u w:val="single"/>
          <w:lang w:val="en-US" w:eastAsia="zh-CN"/>
        </w:rPr>
        <w:t>5</w:t>
      </w:r>
      <w:r>
        <w:rPr>
          <w:rFonts w:hint="eastAsia" w:ascii="宋体" w:hAnsi="宋体"/>
          <w:bCs/>
          <w:color w:val="FF0000"/>
          <w:sz w:val="24"/>
          <w:szCs w:val="24"/>
          <w:u w:val="single"/>
          <w:lang w:eastAsia="zh-CN"/>
        </w:rPr>
        <w:t>日</w:t>
      </w:r>
      <w:r>
        <w:rPr>
          <w:rFonts w:hint="eastAsia" w:ascii="宋体" w:hAnsi="宋体"/>
          <w:bCs/>
          <w:color w:val="FF0000"/>
          <w:sz w:val="24"/>
          <w:szCs w:val="24"/>
          <w:u w:val="single"/>
          <w:lang w:val="en-US" w:eastAsia="zh-CN"/>
        </w:rPr>
        <w:t>14</w:t>
      </w:r>
      <w:r>
        <w:rPr>
          <w:rFonts w:ascii="宋体" w:hAnsi="宋体"/>
          <w:bCs/>
          <w:color w:val="FF0000"/>
          <w:sz w:val="24"/>
          <w:szCs w:val="24"/>
          <w:u w:val="single"/>
        </w:rPr>
        <w:t>点</w:t>
      </w:r>
      <w:r>
        <w:rPr>
          <w:rFonts w:hint="eastAsia" w:ascii="宋体" w:hAnsi="宋体"/>
          <w:bCs/>
          <w:color w:val="FF0000"/>
          <w:sz w:val="24"/>
          <w:szCs w:val="24"/>
          <w:u w:val="single"/>
          <w:lang w:val="en-US" w:eastAsia="zh-CN"/>
        </w:rPr>
        <w:t>00</w:t>
      </w:r>
      <w:r>
        <w:rPr>
          <w:rFonts w:ascii="宋体" w:hAnsi="宋体"/>
          <w:bCs/>
          <w:color w:val="FF0000"/>
          <w:sz w:val="24"/>
          <w:szCs w:val="24"/>
          <w:u w:val="single"/>
        </w:rPr>
        <w:t xml:space="preserve"> 分</w:t>
      </w:r>
      <w:r>
        <w:rPr>
          <w:rFonts w:hint="eastAsia" w:ascii="宋体" w:hAnsi="宋体"/>
          <w:bCs/>
          <w:color w:val="000000" w:themeColor="text1"/>
          <w:sz w:val="24"/>
          <w:szCs w:val="24"/>
          <w14:textFill>
            <w14:solidFill>
              <w14:schemeClr w14:val="tx1"/>
            </w14:solidFill>
          </w14:textFill>
        </w:rPr>
        <w:t>（北京时间）</w:t>
      </w:r>
    </w:p>
    <w:p>
      <w:pPr>
        <w:snapToGri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地点：</w:t>
      </w:r>
      <w:r>
        <w:rPr>
          <w:rFonts w:hint="eastAsia" w:ascii="宋体" w:hAnsi="宋体"/>
          <w:color w:val="000000" w:themeColor="text1"/>
          <w:sz w:val="24"/>
          <w:szCs w:val="24"/>
          <w:u w:val="single"/>
          <w14:textFill>
            <w14:solidFill>
              <w14:schemeClr w14:val="tx1"/>
            </w14:solidFill>
          </w14:textFill>
        </w:rPr>
        <w:t>江苏畅誉项目管理有限公司（常州市天宁区弘智路</w:t>
      </w:r>
      <w:r>
        <w:rPr>
          <w:rFonts w:ascii="宋体" w:hAnsi="宋体"/>
          <w:color w:val="000000" w:themeColor="text1"/>
          <w:sz w:val="24"/>
          <w:szCs w:val="24"/>
          <w:u w:val="single"/>
          <w14:textFill>
            <w14:solidFill>
              <w14:schemeClr w14:val="tx1"/>
            </w14:solidFill>
          </w14:textFill>
        </w:rPr>
        <w:t>7</w:t>
      </w:r>
      <w:r>
        <w:rPr>
          <w:rFonts w:hint="eastAsia" w:ascii="宋体" w:hAnsi="宋体"/>
          <w:color w:val="000000" w:themeColor="text1"/>
          <w:sz w:val="24"/>
          <w:szCs w:val="24"/>
          <w:u w:val="single"/>
          <w14:textFill>
            <w14:solidFill>
              <w14:schemeClr w14:val="tx1"/>
            </w14:solidFill>
          </w14:textFill>
        </w:rPr>
        <w:t>号B座3楼）</w:t>
      </w:r>
    </w:p>
    <w:p>
      <w:pPr>
        <w:pStyle w:val="5"/>
        <w:snapToGrid w:val="0"/>
        <w:spacing w:line="360" w:lineRule="auto"/>
        <w:rPr>
          <w:rFonts w:ascii="宋体" w:hAnsi="宋体" w:eastAsia="宋体" w:cs="宋体"/>
          <w:b/>
          <w:color w:val="000000" w:themeColor="text1"/>
          <w:sz w:val="24"/>
          <w:szCs w:val="24"/>
          <w14:textFill>
            <w14:solidFill>
              <w14:schemeClr w14:val="tx1"/>
            </w14:solidFill>
          </w14:textFill>
        </w:rPr>
      </w:pPr>
      <w:bookmarkStart w:id="44" w:name="_Toc35393625"/>
      <w:bookmarkStart w:id="45" w:name="_Toc35393794"/>
      <w:bookmarkStart w:id="46" w:name="_Toc28359007"/>
      <w:bookmarkStart w:id="47" w:name="_Toc28359084"/>
      <w:r>
        <w:rPr>
          <w:rFonts w:hint="eastAsia" w:ascii="宋体" w:hAnsi="宋体" w:eastAsia="宋体" w:cs="宋体"/>
          <w:b/>
          <w:color w:val="000000" w:themeColor="text1"/>
          <w:sz w:val="24"/>
          <w:szCs w:val="24"/>
          <w14:textFill>
            <w14:solidFill>
              <w14:schemeClr w14:val="tx1"/>
            </w14:solidFill>
          </w14:textFill>
        </w:rPr>
        <w:t>五、</w:t>
      </w:r>
      <w:bookmarkEnd w:id="44"/>
      <w:bookmarkEnd w:id="45"/>
      <w:bookmarkEnd w:id="46"/>
      <w:bookmarkEnd w:id="47"/>
      <w:r>
        <w:rPr>
          <w:rFonts w:hint="eastAsia" w:ascii="宋体" w:hAnsi="宋体" w:eastAsia="宋体" w:cs="宋体"/>
          <w:b/>
          <w:color w:val="000000" w:themeColor="text1"/>
          <w:sz w:val="24"/>
          <w:szCs w:val="24"/>
          <w14:textFill>
            <w14:solidFill>
              <w14:schemeClr w14:val="tx1"/>
            </w14:solidFill>
          </w14:textFill>
        </w:rPr>
        <w:t>开启</w:t>
      </w:r>
    </w:p>
    <w:p>
      <w:pPr>
        <w:snapToGri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时间：</w:t>
      </w:r>
      <w:r>
        <w:rPr>
          <w:rFonts w:hint="eastAsia" w:ascii="宋体" w:hAnsi="宋体"/>
          <w:bCs/>
          <w:color w:val="FF0000"/>
          <w:sz w:val="24"/>
          <w:szCs w:val="24"/>
          <w:u w:val="single"/>
          <w:lang w:eastAsia="zh-CN"/>
        </w:rPr>
        <w:t>2022年8月</w:t>
      </w:r>
      <w:r>
        <w:rPr>
          <w:rFonts w:hint="eastAsia" w:ascii="宋体" w:hAnsi="宋体"/>
          <w:bCs/>
          <w:color w:val="FF0000"/>
          <w:sz w:val="24"/>
          <w:szCs w:val="24"/>
          <w:u w:val="single"/>
          <w:lang w:val="en-US" w:eastAsia="zh-CN"/>
        </w:rPr>
        <w:t>5</w:t>
      </w:r>
      <w:r>
        <w:rPr>
          <w:rFonts w:hint="eastAsia" w:ascii="宋体" w:hAnsi="宋体"/>
          <w:bCs/>
          <w:color w:val="FF0000"/>
          <w:sz w:val="24"/>
          <w:szCs w:val="24"/>
          <w:u w:val="single"/>
          <w:lang w:eastAsia="zh-CN"/>
        </w:rPr>
        <w:t>日</w:t>
      </w:r>
      <w:r>
        <w:rPr>
          <w:rFonts w:hint="eastAsia" w:ascii="宋体" w:hAnsi="宋体"/>
          <w:bCs/>
          <w:color w:val="FF0000"/>
          <w:sz w:val="24"/>
          <w:szCs w:val="24"/>
          <w:u w:val="single"/>
          <w:lang w:val="en-US" w:eastAsia="zh-CN"/>
        </w:rPr>
        <w:t>14</w:t>
      </w:r>
      <w:r>
        <w:rPr>
          <w:rFonts w:ascii="宋体" w:hAnsi="宋体"/>
          <w:bCs/>
          <w:color w:val="FF0000"/>
          <w:sz w:val="24"/>
          <w:szCs w:val="24"/>
          <w:u w:val="single"/>
        </w:rPr>
        <w:t>点</w:t>
      </w:r>
      <w:r>
        <w:rPr>
          <w:rFonts w:hint="eastAsia" w:ascii="宋体" w:hAnsi="宋体"/>
          <w:bCs/>
          <w:color w:val="FF0000"/>
          <w:sz w:val="24"/>
          <w:szCs w:val="24"/>
          <w:u w:val="single"/>
          <w:lang w:val="en-US" w:eastAsia="zh-CN"/>
        </w:rPr>
        <w:t>00</w:t>
      </w:r>
      <w:r>
        <w:rPr>
          <w:rFonts w:ascii="宋体" w:hAnsi="宋体"/>
          <w:bCs/>
          <w:color w:val="FF0000"/>
          <w:sz w:val="24"/>
          <w:szCs w:val="24"/>
          <w:u w:val="single"/>
        </w:rPr>
        <w:t>分</w:t>
      </w:r>
      <w:r>
        <w:rPr>
          <w:rFonts w:hint="eastAsia" w:ascii="宋体" w:hAnsi="宋体"/>
          <w:bCs/>
          <w:color w:val="000000" w:themeColor="text1"/>
          <w:sz w:val="24"/>
          <w:szCs w:val="24"/>
          <w14:textFill>
            <w14:solidFill>
              <w14:schemeClr w14:val="tx1"/>
            </w14:solidFill>
          </w14:textFill>
        </w:rPr>
        <w:t>（北京时间）</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地点：</w:t>
      </w:r>
      <w:r>
        <w:rPr>
          <w:rFonts w:hint="eastAsia" w:ascii="宋体" w:hAnsi="宋体"/>
          <w:color w:val="000000" w:themeColor="text1"/>
          <w:sz w:val="24"/>
          <w:szCs w:val="24"/>
          <w:u w:val="single"/>
          <w14:textFill>
            <w14:solidFill>
              <w14:schemeClr w14:val="tx1"/>
            </w14:solidFill>
          </w14:textFill>
        </w:rPr>
        <w:t>江苏畅誉项目管理有限公司（常州市天宁区弘智路</w:t>
      </w:r>
      <w:r>
        <w:rPr>
          <w:rFonts w:ascii="宋体" w:hAnsi="宋体"/>
          <w:color w:val="000000" w:themeColor="text1"/>
          <w:sz w:val="24"/>
          <w:szCs w:val="24"/>
          <w:u w:val="single"/>
          <w14:textFill>
            <w14:solidFill>
              <w14:schemeClr w14:val="tx1"/>
            </w14:solidFill>
          </w14:textFill>
        </w:rPr>
        <w:t>7</w:t>
      </w:r>
      <w:r>
        <w:rPr>
          <w:rFonts w:hint="eastAsia" w:ascii="宋体" w:hAnsi="宋体"/>
          <w:color w:val="000000" w:themeColor="text1"/>
          <w:sz w:val="24"/>
          <w:szCs w:val="24"/>
          <w:u w:val="single"/>
          <w14:textFill>
            <w14:solidFill>
              <w14:schemeClr w14:val="tx1"/>
            </w14:solidFill>
          </w14:textFill>
        </w:rPr>
        <w:t>号B座3楼）</w:t>
      </w:r>
    </w:p>
    <w:p>
      <w:pPr>
        <w:pStyle w:val="5"/>
        <w:snapToGrid w:val="0"/>
        <w:spacing w:line="360" w:lineRule="auto"/>
        <w:rPr>
          <w:rFonts w:ascii="宋体" w:hAnsi="宋体" w:eastAsia="宋体" w:cs="宋体"/>
          <w:b/>
          <w:sz w:val="24"/>
          <w:szCs w:val="24"/>
        </w:rPr>
      </w:pPr>
      <w:r>
        <w:rPr>
          <w:rFonts w:hint="eastAsia" w:ascii="宋体" w:hAnsi="宋体" w:eastAsia="宋体" w:cs="宋体"/>
          <w:b/>
          <w:sz w:val="24"/>
          <w:szCs w:val="24"/>
        </w:rPr>
        <w:t>六、公告期限</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lang w:val="en-US" w:eastAsia="zh-CN"/>
        </w:rPr>
        <w:t>10</w:t>
      </w:r>
      <w:r>
        <w:rPr>
          <w:rFonts w:hint="eastAsia" w:ascii="宋体" w:hAnsi="宋体" w:cs="宋体"/>
          <w:kern w:val="0"/>
          <w:sz w:val="24"/>
          <w:szCs w:val="24"/>
        </w:rPr>
        <w:t>个工作日</w:t>
      </w:r>
    </w:p>
    <w:p>
      <w:pPr>
        <w:pStyle w:val="5"/>
        <w:numPr>
          <w:ilvl w:val="0"/>
          <w:numId w:val="3"/>
        </w:numPr>
        <w:snapToGrid w:val="0"/>
        <w:spacing w:line="360" w:lineRule="auto"/>
        <w:rPr>
          <w:rFonts w:ascii="宋体" w:hAnsi="宋体" w:eastAsia="宋体" w:cs="宋体"/>
          <w:b/>
          <w:sz w:val="24"/>
          <w:szCs w:val="24"/>
        </w:rPr>
      </w:pPr>
      <w:bookmarkStart w:id="48" w:name="_Toc35393795"/>
      <w:bookmarkStart w:id="49" w:name="_Toc35393626"/>
      <w:r>
        <w:rPr>
          <w:rFonts w:hint="eastAsia" w:ascii="宋体" w:hAnsi="宋体" w:eastAsia="宋体" w:cs="宋体"/>
          <w:b/>
          <w:sz w:val="24"/>
          <w:szCs w:val="24"/>
        </w:rPr>
        <w:t>其他补充事宜</w:t>
      </w:r>
      <w:bookmarkEnd w:id="48"/>
      <w:bookmarkEnd w:id="49"/>
    </w:p>
    <w:p>
      <w:pPr>
        <w:pStyle w:val="49"/>
        <w:spacing w:line="480" w:lineRule="auto"/>
        <w:ind w:firstLine="482" w:firstLineChars="200"/>
        <w:rPr>
          <w:rFonts w:ascii="宋体" w:hAnsi="宋体" w:cs="宋体"/>
          <w:b/>
          <w:bCs/>
          <w:sz w:val="24"/>
          <w:szCs w:val="24"/>
        </w:rPr>
      </w:pPr>
      <w:r>
        <w:rPr>
          <w:rFonts w:hint="eastAsia" w:ascii="宋体" w:hAnsi="宋体" w:cs="宋体"/>
          <w:b/>
          <w:bCs/>
          <w:sz w:val="24"/>
          <w:szCs w:val="24"/>
        </w:rPr>
        <w:t>答疑</w:t>
      </w:r>
    </w:p>
    <w:p>
      <w:pPr>
        <w:pStyle w:val="49"/>
        <w:spacing w:line="480" w:lineRule="auto"/>
        <w:ind w:firstLine="480" w:firstLineChars="200"/>
        <w:rPr>
          <w:rFonts w:ascii="宋体" w:hAnsi="宋体" w:cs="宋体"/>
          <w:b/>
          <w:bCs/>
          <w:sz w:val="24"/>
          <w:szCs w:val="24"/>
        </w:rPr>
      </w:pPr>
      <w:r>
        <w:rPr>
          <w:rFonts w:hint="eastAsia" w:ascii="宋体" w:hAnsi="宋体" w:cs="宋体"/>
          <w:sz w:val="24"/>
          <w:szCs w:val="24"/>
        </w:rPr>
        <w:t>投标单位对招标文件如有疑问，请将疑问于</w:t>
      </w:r>
      <w:r>
        <w:rPr>
          <w:rFonts w:hint="eastAsia" w:ascii="宋体" w:hAnsi="宋体" w:cs="宋体"/>
          <w:b/>
          <w:bCs/>
          <w:color w:val="000000" w:themeColor="text1"/>
          <w:sz w:val="24"/>
          <w:szCs w:val="24"/>
          <w14:textFill>
            <w14:solidFill>
              <w14:schemeClr w14:val="tx1"/>
            </w14:solidFill>
          </w14:textFill>
        </w:rPr>
        <w:t>2022年</w:t>
      </w:r>
      <w:r>
        <w:rPr>
          <w:rFonts w:hint="eastAsia" w:ascii="宋体" w:hAnsi="宋体" w:cs="宋体"/>
          <w:b/>
          <w:bCs/>
          <w:color w:val="000000" w:themeColor="text1"/>
          <w:sz w:val="24"/>
          <w:szCs w:val="24"/>
          <w:lang w:val="en-US" w:eastAsia="zh-CN"/>
          <w14:textFill>
            <w14:solidFill>
              <w14:schemeClr w14:val="tx1"/>
            </w14:solidFill>
          </w14:textFill>
        </w:rPr>
        <w:t>8</w:t>
      </w:r>
      <w:r>
        <w:rPr>
          <w:rFonts w:hint="eastAsia" w:ascii="宋体" w:hAnsi="宋体" w:cs="宋体"/>
          <w:b/>
          <w:bCs/>
          <w:color w:val="000000" w:themeColor="text1"/>
          <w:sz w:val="24"/>
          <w:szCs w:val="24"/>
          <w14:textFill>
            <w14:solidFill>
              <w14:schemeClr w14:val="tx1"/>
            </w14:solidFill>
          </w14:textFill>
        </w:rPr>
        <w:t xml:space="preserve">月 </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日</w:t>
      </w:r>
      <w:r>
        <w:rPr>
          <w:rFonts w:hint="eastAsia" w:ascii="宋体" w:hAnsi="宋体" w:cs="宋体"/>
          <w:b/>
          <w:bCs/>
          <w:sz w:val="24"/>
          <w:szCs w:val="24"/>
        </w:rPr>
        <w:t>17:00 前</w:t>
      </w:r>
      <w:r>
        <w:rPr>
          <w:rFonts w:hint="eastAsia" w:ascii="宋体" w:hAnsi="宋体" w:cs="宋体"/>
          <w:sz w:val="24"/>
          <w:szCs w:val="24"/>
        </w:rPr>
        <w:t>以书面形式递交或邮件至常州市天宁区青龙街道勤业村股份经济合作社</w:t>
      </w:r>
      <w:r>
        <w:rPr>
          <w:rFonts w:hint="eastAsia" w:ascii="宋体" w:hAnsi="宋体" w:cs="宋体"/>
          <w:sz w:val="24"/>
          <w:szCs w:val="24"/>
          <w:lang w:val="en-US" w:eastAsia="zh-CN"/>
        </w:rPr>
        <w:t>及</w:t>
      </w:r>
      <w:r>
        <w:rPr>
          <w:rFonts w:hint="eastAsia" w:ascii="宋体" w:hAnsi="宋体" w:cs="宋体"/>
          <w:sz w:val="24"/>
          <w:szCs w:val="24"/>
        </w:rPr>
        <w:t>江苏畅誉项目管理有限公司</w:t>
      </w:r>
      <w:r>
        <w:rPr>
          <w:rFonts w:hint="eastAsia" w:ascii="宋体" w:hAnsi="宋体" w:cs="宋体"/>
          <w:b/>
          <w:bCs/>
          <w:sz w:val="24"/>
          <w:szCs w:val="24"/>
        </w:rPr>
        <w:t>（注：① 答疑文件须加盖投标单位公章；② 答疑文件以代理机构收到时间为准；否则代理机构有权拒收其答疑文件）。</w:t>
      </w:r>
      <w:bookmarkStart w:id="50" w:name="_Toc35393627"/>
      <w:bookmarkStart w:id="51" w:name="_Toc35393796"/>
      <w:bookmarkStart w:id="52" w:name="_Toc28359008"/>
      <w:bookmarkStart w:id="53" w:name="_Toc28359085"/>
    </w:p>
    <w:p>
      <w:pPr>
        <w:pStyle w:val="49"/>
        <w:spacing w:line="480" w:lineRule="auto"/>
        <w:rPr>
          <w:rFonts w:hint="eastAsia" w:ascii="宋体" w:hAnsi="宋体" w:cs="宋体"/>
          <w:b/>
          <w:sz w:val="24"/>
          <w:szCs w:val="24"/>
        </w:rPr>
      </w:pPr>
    </w:p>
    <w:p>
      <w:pPr>
        <w:pStyle w:val="49"/>
        <w:spacing w:line="480" w:lineRule="auto"/>
        <w:rPr>
          <w:rFonts w:hint="eastAsia" w:ascii="宋体" w:hAnsi="宋体" w:cs="宋体"/>
          <w:b/>
          <w:sz w:val="24"/>
          <w:szCs w:val="24"/>
        </w:rPr>
      </w:pPr>
    </w:p>
    <w:p>
      <w:pPr>
        <w:pStyle w:val="49"/>
        <w:spacing w:line="480" w:lineRule="auto"/>
        <w:rPr>
          <w:rFonts w:ascii="宋体" w:hAnsi="宋体" w:cs="宋体"/>
          <w:b/>
          <w:sz w:val="24"/>
          <w:szCs w:val="24"/>
        </w:rPr>
      </w:pPr>
      <w:r>
        <w:rPr>
          <w:rFonts w:hint="eastAsia" w:ascii="宋体" w:hAnsi="宋体" w:cs="宋体"/>
          <w:b/>
          <w:sz w:val="24"/>
          <w:szCs w:val="24"/>
        </w:rPr>
        <w:t>八、对本次招标提出询问，请按以下方式联系。</w:t>
      </w:r>
      <w:bookmarkEnd w:id="50"/>
      <w:bookmarkEnd w:id="51"/>
      <w:bookmarkEnd w:id="52"/>
      <w:bookmarkEnd w:id="53"/>
    </w:p>
    <w:p>
      <w:pPr>
        <w:widowControl/>
        <w:snapToGrid w:val="0"/>
        <w:spacing w:line="360" w:lineRule="auto"/>
        <w:ind w:firstLine="480" w:firstLineChars="200"/>
        <w:jc w:val="left"/>
        <w:rPr>
          <w:rFonts w:hint="eastAsia" w:ascii="宋体" w:hAnsi="宋体" w:cs="宋体"/>
          <w:sz w:val="24"/>
          <w:szCs w:val="24"/>
        </w:rPr>
      </w:pPr>
      <w:bookmarkStart w:id="54" w:name="_Toc35393618"/>
      <w:bookmarkStart w:id="55" w:name="_Toc28359076"/>
      <w:bookmarkStart w:id="56" w:name="_Toc35393787"/>
      <w:bookmarkStart w:id="57" w:name="_Toc28358999"/>
      <w:r>
        <w:rPr>
          <w:rFonts w:hint="eastAsia" w:ascii="宋体" w:hAnsi="宋体" w:cs="宋体"/>
          <w:sz w:val="24"/>
          <w:szCs w:val="24"/>
        </w:rPr>
        <w:t>1.采购人信息：</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名 称：常州市天宁区青龙街道勤业村股份经济合作社</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联系人：陈敏</w:t>
      </w:r>
      <w:r>
        <w:rPr>
          <w:rFonts w:ascii="宋体" w:hAnsi="宋体" w:cs="宋体"/>
          <w:sz w:val="24"/>
          <w:szCs w:val="24"/>
        </w:rPr>
        <w:t xml:space="preserve"> </w:t>
      </w:r>
    </w:p>
    <w:p>
      <w:pPr>
        <w:widowControl/>
        <w:snapToGrid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0519-85307147</w:t>
      </w:r>
    </w:p>
    <w:p>
      <w:pPr>
        <w:pStyle w:val="26"/>
      </w:pP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2.代理采购机构信息</w:t>
      </w:r>
      <w:bookmarkEnd w:id="54"/>
      <w:bookmarkEnd w:id="55"/>
      <w:bookmarkEnd w:id="56"/>
      <w:bookmarkEnd w:id="57"/>
      <w:r>
        <w:rPr>
          <w:rFonts w:hint="eastAsia" w:ascii="宋体" w:hAnsi="宋体" w:cs="宋体"/>
          <w:sz w:val="24"/>
          <w:szCs w:val="24"/>
        </w:rPr>
        <w:t>：</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名 称：江苏畅誉项目管理有限公司</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址：常州市天宁区弘智路7号B座3楼</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电话：</w:t>
      </w:r>
      <w:r>
        <w:rPr>
          <w:rFonts w:ascii="宋体" w:hAnsi="宋体" w:cs="宋体"/>
          <w:sz w:val="24"/>
          <w:szCs w:val="24"/>
        </w:rPr>
        <w:t>15061992993</w:t>
      </w:r>
      <w:bookmarkStart w:id="58" w:name="_Toc35393619"/>
      <w:bookmarkStart w:id="59" w:name="_Toc28359000"/>
      <w:bookmarkStart w:id="60" w:name="_Toc28359077"/>
      <w:bookmarkStart w:id="61" w:name="_Toc35393788"/>
    </w:p>
    <w:p>
      <w:pPr>
        <w:pStyle w:val="3"/>
      </w:pPr>
    </w:p>
    <w:bookmarkEnd w:id="58"/>
    <w:bookmarkEnd w:id="59"/>
    <w:bookmarkEnd w:id="60"/>
    <w:bookmarkEnd w:id="61"/>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3.项目联系方式</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联系人：陈敏</w:t>
      </w:r>
      <w:r>
        <w:rPr>
          <w:rFonts w:ascii="宋体" w:hAnsi="宋体" w:cs="宋体"/>
          <w:sz w:val="24"/>
          <w:szCs w:val="24"/>
        </w:rPr>
        <w:t xml:space="preserve"> </w:t>
      </w:r>
    </w:p>
    <w:p>
      <w:pPr>
        <w:widowControl/>
        <w:snapToGrid w:val="0"/>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0519-85307147</w:t>
      </w:r>
    </w:p>
    <w:p>
      <w:pPr>
        <w:snapToGrid w:val="0"/>
        <w:spacing w:line="360" w:lineRule="auto"/>
        <w:ind w:firstLine="480" w:firstLineChars="200"/>
        <w:rPr>
          <w:rFonts w:hint="eastAsia" w:ascii="宋体" w:hAnsi="宋体"/>
          <w:sz w:val="24"/>
          <w:szCs w:val="24"/>
          <w:lang w:val="en-US" w:eastAsia="zh-CN"/>
        </w:rPr>
      </w:pPr>
    </w:p>
    <w:p>
      <w:pPr>
        <w:snapToGrid w:val="0"/>
        <w:spacing w:line="360" w:lineRule="auto"/>
        <w:ind w:firstLine="482" w:firstLineChars="200"/>
        <w:rPr>
          <w:rFonts w:hint="default" w:ascii="宋体" w:hAnsi="宋体"/>
          <w:b/>
          <w:bCs/>
          <w:sz w:val="24"/>
          <w:szCs w:val="24"/>
          <w:lang w:val="en-US" w:eastAsia="zh-CN"/>
        </w:rPr>
      </w:pPr>
      <w:r>
        <w:rPr>
          <w:rFonts w:hint="eastAsia" w:ascii="宋体" w:hAnsi="宋体"/>
          <w:b/>
          <w:bCs/>
          <w:sz w:val="24"/>
          <w:szCs w:val="24"/>
          <w:lang w:val="en-US" w:eastAsia="zh-CN"/>
        </w:rPr>
        <w:t>注：</w:t>
      </w:r>
    </w:p>
    <w:p>
      <w:pPr>
        <w:snapToGrid w:val="0"/>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疫情防控措施</w:t>
      </w:r>
    </w:p>
    <w:p>
      <w:pPr>
        <w:snapToGrid w:val="0"/>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对于参与开评标活动的供应商、采购单位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pPr>
        <w:pStyle w:val="2"/>
        <w:rPr>
          <w:rFonts w:hint="default" w:ascii="宋体" w:hAnsi="宋体" w:cs="宋体"/>
          <w:sz w:val="24"/>
          <w:szCs w:val="24"/>
          <w:lang w:val="en-US" w:eastAsia="zh-CN"/>
        </w:rPr>
      </w:pPr>
    </w:p>
    <w:p>
      <w:pPr>
        <w:widowControl/>
        <w:snapToGrid w:val="0"/>
        <w:spacing w:line="360" w:lineRule="auto"/>
        <w:ind w:firstLine="480" w:firstLineChars="200"/>
        <w:jc w:val="left"/>
        <w:rPr>
          <w:rFonts w:asciiTheme="minorEastAsia" w:hAnsiTheme="minorEastAsia" w:eastAsiaTheme="minorEastAsia" w:cstheme="minorEastAsia"/>
          <w:sz w:val="24"/>
          <w:szCs w:val="24"/>
          <w:shd w:val="clear" w:color="auto" w:fill="FFFFFF"/>
        </w:rPr>
      </w:pPr>
    </w:p>
    <w:p>
      <w:pPr>
        <w:widowControl/>
        <w:snapToGrid w:val="0"/>
        <w:spacing w:line="240" w:lineRule="exact"/>
        <w:ind w:firstLine="480" w:firstLineChars="200"/>
        <w:jc w:val="left"/>
        <w:rPr>
          <w:rFonts w:ascii="宋体" w:hAnsi="宋体" w:cs="宋体"/>
          <w:sz w:val="24"/>
          <w:szCs w:val="24"/>
        </w:rPr>
      </w:pPr>
    </w:p>
    <w:p>
      <w:pPr>
        <w:pStyle w:val="4"/>
        <w:keepNext w:val="0"/>
        <w:snapToGrid w:val="0"/>
        <w:spacing w:line="360" w:lineRule="auto"/>
        <w:ind w:left="0" w:firstLine="0"/>
        <w:rPr>
          <w:rFonts w:ascii="黑体" w:hAnsi="黑体" w:cs="黑体"/>
          <w:sz w:val="36"/>
          <w:szCs w:val="36"/>
        </w:rPr>
      </w:pPr>
      <w:r>
        <w:rPr>
          <w:rFonts w:hint="eastAsia" w:ascii="黑体" w:hAnsi="黑体" w:cs="黑体"/>
          <w:b w:val="0"/>
          <w:bCs/>
          <w:sz w:val="36"/>
          <w:szCs w:val="36"/>
        </w:rPr>
        <w:t>第一章   总  则</w:t>
      </w:r>
      <w:bookmarkEnd w:id="2"/>
      <w:bookmarkEnd w:id="3"/>
    </w:p>
    <w:p>
      <w:pPr>
        <w:snapToGrid w:val="0"/>
        <w:spacing w:line="480" w:lineRule="auto"/>
        <w:rPr>
          <w:rFonts w:ascii="宋体" w:hAnsi="宋体"/>
          <w:b/>
          <w:sz w:val="24"/>
          <w:szCs w:val="24"/>
        </w:rPr>
      </w:pPr>
      <w:r>
        <w:rPr>
          <w:rFonts w:hint="eastAsia" w:ascii="宋体" w:hAnsi="宋体"/>
          <w:b/>
          <w:sz w:val="24"/>
          <w:szCs w:val="24"/>
        </w:rPr>
        <w:t>一、招标项目：</w:t>
      </w:r>
    </w:p>
    <w:p>
      <w:pPr>
        <w:snapToGrid w:val="0"/>
        <w:spacing w:line="480" w:lineRule="auto"/>
        <w:ind w:firstLine="480" w:firstLineChars="200"/>
        <w:rPr>
          <w:rFonts w:ascii="宋体" w:hAnsi="宋体"/>
          <w:sz w:val="24"/>
          <w:szCs w:val="24"/>
        </w:rPr>
      </w:pPr>
      <w:r>
        <w:rPr>
          <w:rFonts w:hint="eastAsia" w:ascii="宋体" w:hAnsi="宋体"/>
          <w:sz w:val="24"/>
          <w:szCs w:val="24"/>
        </w:rPr>
        <w:t>详见招标公告</w:t>
      </w:r>
    </w:p>
    <w:p>
      <w:pPr>
        <w:snapToGrid w:val="0"/>
        <w:spacing w:line="480" w:lineRule="auto"/>
        <w:rPr>
          <w:rFonts w:ascii="宋体" w:hAnsi="宋体"/>
          <w:b/>
          <w:sz w:val="24"/>
          <w:szCs w:val="24"/>
        </w:rPr>
      </w:pPr>
      <w:r>
        <w:rPr>
          <w:rFonts w:hint="eastAsia" w:ascii="宋体" w:hAnsi="宋体"/>
          <w:b/>
          <w:sz w:val="24"/>
          <w:szCs w:val="24"/>
        </w:rPr>
        <w:t>二、投标人的资格要求：</w:t>
      </w:r>
    </w:p>
    <w:p>
      <w:pPr>
        <w:snapToGrid w:val="0"/>
        <w:spacing w:line="480" w:lineRule="auto"/>
        <w:ind w:firstLine="480" w:firstLineChars="200"/>
        <w:rPr>
          <w:rFonts w:ascii="宋体" w:hAnsi="宋体"/>
          <w:sz w:val="24"/>
          <w:szCs w:val="24"/>
        </w:rPr>
      </w:pPr>
      <w:r>
        <w:rPr>
          <w:rFonts w:hint="eastAsia" w:ascii="宋体" w:hAnsi="宋体"/>
          <w:sz w:val="24"/>
          <w:szCs w:val="24"/>
        </w:rPr>
        <w:t>详见招标公告</w:t>
      </w:r>
    </w:p>
    <w:p>
      <w:pPr>
        <w:snapToGrid w:val="0"/>
        <w:spacing w:line="480" w:lineRule="auto"/>
        <w:rPr>
          <w:rFonts w:ascii="宋体" w:hAnsi="宋体"/>
          <w:b/>
          <w:sz w:val="24"/>
          <w:szCs w:val="24"/>
        </w:rPr>
      </w:pPr>
      <w:r>
        <w:rPr>
          <w:rFonts w:hint="eastAsia" w:ascii="宋体" w:hAnsi="宋体"/>
          <w:b/>
          <w:sz w:val="24"/>
          <w:szCs w:val="24"/>
        </w:rPr>
        <w:t>三、投标费用</w:t>
      </w:r>
    </w:p>
    <w:p>
      <w:pPr>
        <w:snapToGrid w:val="0"/>
        <w:spacing w:line="480" w:lineRule="auto"/>
        <w:ind w:firstLine="480" w:firstLineChars="200"/>
        <w:rPr>
          <w:rFonts w:ascii="宋体" w:hAnsi="宋体"/>
          <w:sz w:val="24"/>
          <w:szCs w:val="24"/>
        </w:rPr>
      </w:pPr>
      <w:r>
        <w:rPr>
          <w:rFonts w:ascii="宋体" w:hAnsi="宋体"/>
          <w:sz w:val="24"/>
          <w:szCs w:val="24"/>
        </w:rPr>
        <w:t>无论招投标结果如何，投标人应自行承担</w:t>
      </w:r>
      <w:r>
        <w:rPr>
          <w:rFonts w:hint="eastAsia" w:ascii="宋体" w:hAnsi="宋体"/>
          <w:sz w:val="24"/>
          <w:szCs w:val="24"/>
        </w:rPr>
        <w:t>所有与准备和参加投标有关的一切费用，</w:t>
      </w:r>
      <w:r>
        <w:rPr>
          <w:rFonts w:ascii="宋体" w:hAnsi="宋体"/>
          <w:sz w:val="24"/>
          <w:szCs w:val="24"/>
        </w:rPr>
        <w:t>招标人对上述费用不负任何责任。</w:t>
      </w:r>
    </w:p>
    <w:p>
      <w:pPr>
        <w:snapToGrid w:val="0"/>
        <w:spacing w:line="480" w:lineRule="auto"/>
        <w:rPr>
          <w:rFonts w:ascii="宋体" w:hAnsi="宋体"/>
          <w:b/>
          <w:sz w:val="24"/>
          <w:szCs w:val="24"/>
        </w:rPr>
      </w:pPr>
      <w:r>
        <w:rPr>
          <w:rFonts w:hint="eastAsia" w:ascii="宋体" w:hAnsi="宋体"/>
          <w:b/>
          <w:sz w:val="24"/>
          <w:szCs w:val="24"/>
        </w:rPr>
        <w:t>四、招标文件</w:t>
      </w:r>
    </w:p>
    <w:p>
      <w:pPr>
        <w:snapToGrid w:val="0"/>
        <w:spacing w:line="480" w:lineRule="auto"/>
        <w:ind w:firstLine="480" w:firstLineChars="200"/>
        <w:rPr>
          <w:rFonts w:ascii="宋体" w:hAnsi="宋体"/>
          <w:sz w:val="24"/>
          <w:szCs w:val="24"/>
        </w:rPr>
      </w:pPr>
      <w:r>
        <w:rPr>
          <w:rFonts w:ascii="宋体" w:hAnsi="宋体"/>
          <w:sz w:val="24"/>
          <w:szCs w:val="24"/>
        </w:rPr>
        <w:t xml:space="preserve">１、招标文件的组成 </w:t>
      </w:r>
    </w:p>
    <w:p>
      <w:pPr>
        <w:snapToGrid w:val="0"/>
        <w:spacing w:line="480" w:lineRule="auto"/>
        <w:ind w:firstLine="480" w:firstLineChars="200"/>
        <w:rPr>
          <w:rFonts w:ascii="宋体" w:hAnsi="宋体"/>
          <w:sz w:val="24"/>
          <w:szCs w:val="24"/>
        </w:rPr>
      </w:pPr>
      <w:r>
        <w:rPr>
          <w:rFonts w:ascii="宋体" w:hAnsi="宋体"/>
          <w:sz w:val="24"/>
          <w:szCs w:val="24"/>
        </w:rPr>
        <w:t>本文件及依法对本文件所作的书面</w:t>
      </w:r>
      <w:r>
        <w:rPr>
          <w:rFonts w:hint="eastAsia" w:ascii="宋体" w:hAnsi="宋体"/>
          <w:sz w:val="24"/>
          <w:szCs w:val="24"/>
        </w:rPr>
        <w:t>更正</w:t>
      </w:r>
      <w:r>
        <w:rPr>
          <w:rFonts w:ascii="宋体" w:hAnsi="宋体"/>
          <w:sz w:val="24"/>
          <w:szCs w:val="24"/>
        </w:rPr>
        <w:t>的内容均为招标文件的组成部分。</w:t>
      </w:r>
    </w:p>
    <w:p>
      <w:pPr>
        <w:snapToGrid w:val="0"/>
        <w:spacing w:line="480" w:lineRule="auto"/>
        <w:ind w:firstLine="480" w:firstLineChars="200"/>
        <w:rPr>
          <w:rFonts w:ascii="宋体" w:hAnsi="宋体"/>
          <w:sz w:val="24"/>
          <w:szCs w:val="24"/>
        </w:rPr>
      </w:pPr>
      <w:r>
        <w:rPr>
          <w:rFonts w:ascii="宋体" w:hAnsi="宋体"/>
          <w:sz w:val="24"/>
          <w:szCs w:val="24"/>
        </w:rPr>
        <w:t>２、招标文件的</w:t>
      </w:r>
      <w:r>
        <w:rPr>
          <w:rFonts w:hint="eastAsia" w:ascii="宋体" w:hAnsi="宋体"/>
          <w:sz w:val="24"/>
          <w:szCs w:val="24"/>
        </w:rPr>
        <w:t>更正</w:t>
      </w:r>
    </w:p>
    <w:p>
      <w:pPr>
        <w:snapToGrid w:val="0"/>
        <w:spacing w:line="480" w:lineRule="auto"/>
        <w:ind w:firstLine="480" w:firstLineChars="200"/>
        <w:rPr>
          <w:rFonts w:ascii="宋体" w:hAnsi="宋体"/>
          <w:sz w:val="24"/>
          <w:szCs w:val="24"/>
        </w:rPr>
      </w:pPr>
      <w:r>
        <w:rPr>
          <w:rFonts w:ascii="宋体" w:hAnsi="宋体"/>
          <w:sz w:val="24"/>
          <w:szCs w:val="24"/>
        </w:rPr>
        <w:t>投标人在收到招标文件后，如有疑问需要</w:t>
      </w:r>
      <w:r>
        <w:rPr>
          <w:rFonts w:hint="eastAsia" w:ascii="宋体" w:hAnsi="宋体"/>
          <w:sz w:val="24"/>
          <w:szCs w:val="24"/>
        </w:rPr>
        <w:t>询问和</w:t>
      </w:r>
      <w:r>
        <w:rPr>
          <w:rFonts w:ascii="宋体" w:hAnsi="宋体"/>
          <w:sz w:val="24"/>
          <w:szCs w:val="24"/>
        </w:rPr>
        <w:t>澄清，应在</w:t>
      </w:r>
      <w:r>
        <w:rPr>
          <w:rFonts w:hint="eastAsia" w:ascii="宋体" w:hAnsi="宋体"/>
          <w:sz w:val="24"/>
          <w:szCs w:val="24"/>
        </w:rPr>
        <w:t>投标截止时间的</w:t>
      </w:r>
      <w:r>
        <w:rPr>
          <w:rFonts w:hint="eastAsia" w:ascii="宋体" w:hAnsi="宋体"/>
          <w:b/>
          <w:sz w:val="24"/>
          <w:szCs w:val="24"/>
          <w:u w:val="single"/>
        </w:rPr>
        <w:t>3日</w:t>
      </w:r>
      <w:r>
        <w:rPr>
          <w:rFonts w:ascii="宋体" w:hAnsi="宋体"/>
          <w:b/>
          <w:sz w:val="24"/>
          <w:szCs w:val="24"/>
          <w:u w:val="single"/>
        </w:rPr>
        <w:t>前</w:t>
      </w:r>
      <w:r>
        <w:rPr>
          <w:rFonts w:ascii="宋体" w:hAnsi="宋体"/>
          <w:sz w:val="24"/>
          <w:szCs w:val="24"/>
        </w:rPr>
        <w:t>以书面形式向招标人提出，如无疑问,视作投标人完全响应招标文件的条款和要求。招标人作出的澄清</w:t>
      </w:r>
      <w:r>
        <w:rPr>
          <w:rFonts w:hint="eastAsia" w:ascii="宋体" w:hAnsi="宋体"/>
          <w:sz w:val="24"/>
          <w:szCs w:val="24"/>
        </w:rPr>
        <w:t>或</w:t>
      </w:r>
      <w:r>
        <w:rPr>
          <w:rFonts w:ascii="宋体" w:hAnsi="宋体"/>
          <w:sz w:val="24"/>
          <w:szCs w:val="24"/>
        </w:rPr>
        <w:t>修改将</w:t>
      </w:r>
      <w:r>
        <w:rPr>
          <w:rFonts w:hint="eastAsia" w:ascii="宋体" w:hAnsi="宋体"/>
          <w:sz w:val="24"/>
          <w:szCs w:val="24"/>
        </w:rPr>
        <w:t>以更正</w:t>
      </w:r>
      <w:r>
        <w:rPr>
          <w:rFonts w:ascii="宋体" w:hAnsi="宋体"/>
          <w:sz w:val="24"/>
          <w:szCs w:val="24"/>
        </w:rPr>
        <w:t>公告</w:t>
      </w:r>
      <w:r>
        <w:rPr>
          <w:rFonts w:hint="eastAsia" w:ascii="宋体" w:hAnsi="宋体"/>
          <w:sz w:val="24"/>
          <w:szCs w:val="24"/>
        </w:rPr>
        <w:t>形式</w:t>
      </w:r>
      <w:r>
        <w:rPr>
          <w:rFonts w:ascii="宋体" w:hAnsi="宋体"/>
          <w:sz w:val="24"/>
          <w:szCs w:val="24"/>
        </w:rPr>
        <w:t>通知所有投标人。</w:t>
      </w:r>
    </w:p>
    <w:p>
      <w:pPr>
        <w:snapToGrid w:val="0"/>
        <w:spacing w:line="480" w:lineRule="auto"/>
        <w:ind w:firstLine="480" w:firstLineChars="200"/>
        <w:rPr>
          <w:rFonts w:ascii="宋体" w:hAnsi="宋体"/>
          <w:sz w:val="24"/>
          <w:szCs w:val="24"/>
        </w:rPr>
      </w:pPr>
      <w:r>
        <w:rPr>
          <w:rFonts w:ascii="宋体" w:hAnsi="宋体"/>
          <w:sz w:val="24"/>
          <w:szCs w:val="24"/>
        </w:rPr>
        <w:t>招标文件各项条款最终解释权归</w:t>
      </w:r>
      <w:r>
        <w:rPr>
          <w:rFonts w:hint="eastAsia" w:ascii="宋体" w:hAnsi="宋体"/>
          <w:sz w:val="24"/>
          <w:szCs w:val="24"/>
        </w:rPr>
        <w:t>江苏畅誉项目管理有限公司</w:t>
      </w:r>
      <w:r>
        <w:rPr>
          <w:rFonts w:ascii="宋体" w:hAnsi="宋体"/>
          <w:sz w:val="24"/>
          <w:szCs w:val="24"/>
        </w:rPr>
        <w:t>，投标人对招标人提供的招标文件所做出的推论、解释和结论，招标人概不负责。投标人由于对招标文件的任何推论和误解以及招标人对有关问题的口头解释所造成的后果，均由投标人自负。</w:t>
      </w:r>
    </w:p>
    <w:p>
      <w:pPr>
        <w:snapToGrid w:val="0"/>
        <w:spacing w:line="480" w:lineRule="auto"/>
        <w:ind w:firstLine="480" w:firstLineChars="200"/>
        <w:rPr>
          <w:rFonts w:ascii="宋体" w:hAnsi="宋体"/>
          <w:sz w:val="24"/>
          <w:szCs w:val="24"/>
        </w:rPr>
      </w:pPr>
      <w:r>
        <w:rPr>
          <w:rFonts w:ascii="宋体" w:hAnsi="宋体"/>
          <w:sz w:val="24"/>
          <w:szCs w:val="24"/>
        </w:rPr>
        <w:t>招标人有权对已发出的招标文件进行必要的澄清或</w:t>
      </w:r>
      <w:r>
        <w:rPr>
          <w:rFonts w:hint="eastAsia" w:ascii="宋体" w:hAnsi="宋体"/>
          <w:sz w:val="24"/>
          <w:szCs w:val="24"/>
        </w:rPr>
        <w:t>修改</w:t>
      </w:r>
      <w:r>
        <w:rPr>
          <w:rFonts w:ascii="宋体" w:hAnsi="宋体"/>
          <w:sz w:val="24"/>
          <w:szCs w:val="24"/>
        </w:rPr>
        <w:t>，并</w:t>
      </w:r>
      <w:r>
        <w:rPr>
          <w:rFonts w:hint="eastAsia" w:ascii="宋体" w:hAnsi="宋体"/>
          <w:sz w:val="24"/>
          <w:szCs w:val="24"/>
        </w:rPr>
        <w:t>以更正公告形式</w:t>
      </w:r>
      <w:r>
        <w:rPr>
          <w:rFonts w:ascii="宋体" w:hAnsi="宋体"/>
          <w:sz w:val="24"/>
          <w:szCs w:val="24"/>
        </w:rPr>
        <w:t>通知所有投标人。</w:t>
      </w:r>
    </w:p>
    <w:p>
      <w:pPr>
        <w:snapToGrid w:val="0"/>
        <w:spacing w:line="480" w:lineRule="auto"/>
        <w:ind w:firstLine="480" w:firstLineChars="200"/>
        <w:rPr>
          <w:rFonts w:ascii="宋体" w:hAnsi="宋体"/>
          <w:sz w:val="24"/>
          <w:szCs w:val="24"/>
        </w:rPr>
      </w:pPr>
      <w:r>
        <w:rPr>
          <w:rFonts w:ascii="宋体" w:hAnsi="宋体"/>
          <w:sz w:val="24"/>
          <w:szCs w:val="24"/>
        </w:rPr>
        <w:t>招标人可视具体情况，延长投标截止时间和开标时间，并</w:t>
      </w:r>
      <w:r>
        <w:rPr>
          <w:rFonts w:hint="eastAsia" w:ascii="宋体" w:hAnsi="宋体"/>
          <w:sz w:val="24"/>
          <w:szCs w:val="24"/>
        </w:rPr>
        <w:t>以更正公告形式</w:t>
      </w:r>
      <w:r>
        <w:rPr>
          <w:rFonts w:ascii="宋体" w:hAnsi="宋体"/>
          <w:sz w:val="24"/>
          <w:szCs w:val="24"/>
        </w:rPr>
        <w:t>通知所有投标人。</w:t>
      </w:r>
    </w:p>
    <w:p>
      <w:pPr>
        <w:snapToGrid w:val="0"/>
        <w:spacing w:line="480" w:lineRule="auto"/>
        <w:ind w:firstLine="480" w:firstLineChars="200"/>
        <w:rPr>
          <w:rFonts w:ascii="宋体" w:hAnsi="宋体"/>
          <w:sz w:val="24"/>
          <w:szCs w:val="24"/>
        </w:rPr>
      </w:pPr>
      <w:r>
        <w:rPr>
          <w:rFonts w:hint="eastAsia" w:ascii="宋体" w:hAnsi="宋体"/>
          <w:sz w:val="24"/>
          <w:szCs w:val="24"/>
        </w:rPr>
        <w:t>更正公告</w:t>
      </w:r>
      <w:r>
        <w:rPr>
          <w:rFonts w:ascii="宋体" w:hAnsi="宋体"/>
          <w:sz w:val="24"/>
          <w:szCs w:val="24"/>
        </w:rPr>
        <w:t>以</w:t>
      </w:r>
      <w:r>
        <w:rPr>
          <w:rFonts w:hint="eastAsia" w:ascii="宋体" w:hAnsi="宋体"/>
          <w:sz w:val="24"/>
          <w:szCs w:val="24"/>
        </w:rPr>
        <w:t>江苏畅誉项目管理有限公司</w:t>
      </w:r>
      <w:r>
        <w:rPr>
          <w:rFonts w:ascii="宋体" w:hAnsi="宋体"/>
          <w:sz w:val="24"/>
          <w:szCs w:val="24"/>
        </w:rPr>
        <w:t>网</w:t>
      </w:r>
      <w:r>
        <w:rPr>
          <w:rFonts w:hint="eastAsia" w:ascii="宋体" w:hAnsi="宋体"/>
          <w:sz w:val="24"/>
          <w:szCs w:val="24"/>
        </w:rPr>
        <w:t>站（http://www.jschangyu.com/）</w:t>
      </w:r>
      <w:r>
        <w:rPr>
          <w:rFonts w:ascii="宋体" w:hAnsi="宋体"/>
          <w:sz w:val="24"/>
          <w:szCs w:val="24"/>
        </w:rPr>
        <w:t>所发布的为准。</w:t>
      </w:r>
    </w:p>
    <w:p>
      <w:pPr>
        <w:snapToGrid w:val="0"/>
        <w:spacing w:line="480" w:lineRule="auto"/>
        <w:ind w:firstLine="480" w:firstLineChars="200"/>
        <w:rPr>
          <w:rFonts w:ascii="宋体" w:hAnsi="宋体"/>
          <w:sz w:val="24"/>
          <w:szCs w:val="24"/>
        </w:rPr>
      </w:pPr>
      <w:r>
        <w:rPr>
          <w:rFonts w:hint="eastAsia" w:ascii="宋体" w:hAnsi="宋体"/>
          <w:bCs/>
          <w:sz w:val="24"/>
          <w:szCs w:val="24"/>
        </w:rPr>
        <w:t>3、</w:t>
      </w:r>
      <w:r>
        <w:rPr>
          <w:rFonts w:hint="eastAsia" w:ascii="宋体" w:hAnsi="宋体"/>
          <w:sz w:val="24"/>
          <w:szCs w:val="24"/>
        </w:rPr>
        <w:t>招标文件中采购需求部分（第七章、第八章以及投标人资格要求）由采购人及代理机构负责制定，对该部分内容有询问或者质疑（投诉）的，投标人向采购人或代理机构书面提出，由采购人或代理机构负责接收和回复。</w:t>
      </w:r>
    </w:p>
    <w:p>
      <w:pPr>
        <w:snapToGrid w:val="0"/>
        <w:spacing w:line="480" w:lineRule="auto"/>
        <w:rPr>
          <w:rFonts w:ascii="宋体" w:hAnsi="宋体"/>
          <w:b/>
          <w:sz w:val="24"/>
          <w:szCs w:val="24"/>
        </w:rPr>
      </w:pPr>
      <w:r>
        <w:rPr>
          <w:rFonts w:hint="eastAsia" w:ascii="宋体" w:hAnsi="宋体"/>
          <w:b/>
          <w:sz w:val="24"/>
          <w:szCs w:val="24"/>
        </w:rPr>
        <w:t>五、投标人的义务</w:t>
      </w:r>
    </w:p>
    <w:p>
      <w:pPr>
        <w:snapToGrid w:val="0"/>
        <w:spacing w:line="48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、投标人应当认真阅读招标文件，完全明了招标项目之名称、用途、数量、质量和交货日期，完全明了投标人所应具备的资格条件。</w:t>
      </w:r>
    </w:p>
    <w:p>
      <w:pPr>
        <w:snapToGrid w:val="0"/>
        <w:spacing w:line="48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、投标人应当按照招标文件的要求编制投标文件。投标文件应对招标文件提出的实质性要求和条件作出完全响应。</w:t>
      </w:r>
    </w:p>
    <w:p>
      <w:pPr>
        <w:snapToGrid w:val="0"/>
        <w:spacing w:line="48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、投标人应在投标截止时间前，将密封的投标文件送达投标地点。</w:t>
      </w:r>
    </w:p>
    <w:p>
      <w:pPr>
        <w:snapToGrid w:val="0"/>
        <w:spacing w:line="48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、投标人不得相互串通投标报价，不得排挤其他投标人的公平竞争，损害招标人或者其他投标人合法权益。投标人不得与招标人串通投标，损害国家利益，公众利益或者他人的合法权益。</w:t>
      </w:r>
    </w:p>
    <w:p>
      <w:pPr>
        <w:snapToGrid w:val="0"/>
        <w:spacing w:line="480" w:lineRule="auto"/>
        <w:ind w:firstLine="480" w:firstLineChars="200"/>
        <w:rPr>
          <w:rFonts w:ascii="宋体" w:hAnsi="宋体"/>
          <w:sz w:val="24"/>
          <w:szCs w:val="24"/>
        </w:rPr>
      </w:pPr>
      <w:r>
        <w:rPr>
          <w:rFonts w:hint="eastAsia" w:ascii="宋体" w:hAnsi="宋体"/>
          <w:sz w:val="24"/>
          <w:szCs w:val="24"/>
        </w:rPr>
        <w:t>有下列情形之一的，视为投标人串通投标，其投标无效：</w:t>
      </w:r>
    </w:p>
    <w:p>
      <w:pPr>
        <w:snapToGrid w:val="0"/>
        <w:spacing w:line="480" w:lineRule="auto"/>
        <w:ind w:firstLine="480" w:firstLineChars="200"/>
        <w:rPr>
          <w:rFonts w:ascii="宋体" w:hAnsi="宋体"/>
          <w:sz w:val="24"/>
          <w:szCs w:val="24"/>
        </w:rPr>
      </w:pPr>
      <w:r>
        <w:rPr>
          <w:rFonts w:hint="eastAsia" w:ascii="宋体" w:hAnsi="宋体"/>
          <w:sz w:val="24"/>
          <w:szCs w:val="24"/>
        </w:rPr>
        <w:t>（一）不同投标人的投标文件由同一单位或者个人编制；</w:t>
      </w:r>
    </w:p>
    <w:p>
      <w:pPr>
        <w:snapToGrid w:val="0"/>
        <w:spacing w:line="480" w:lineRule="auto"/>
        <w:ind w:firstLine="480" w:firstLineChars="200"/>
        <w:rPr>
          <w:rFonts w:ascii="宋体" w:hAnsi="宋体"/>
          <w:sz w:val="24"/>
          <w:szCs w:val="24"/>
        </w:rPr>
      </w:pPr>
      <w:r>
        <w:rPr>
          <w:rFonts w:hint="eastAsia" w:ascii="宋体" w:hAnsi="宋体"/>
          <w:sz w:val="24"/>
          <w:szCs w:val="24"/>
        </w:rPr>
        <w:t>（二）不同投标人委托同一单位或者个人办理投标事宜；</w:t>
      </w:r>
    </w:p>
    <w:p>
      <w:pPr>
        <w:snapToGrid w:val="0"/>
        <w:spacing w:line="480" w:lineRule="auto"/>
        <w:ind w:firstLine="480" w:firstLineChars="200"/>
        <w:rPr>
          <w:rFonts w:ascii="宋体" w:hAnsi="宋体"/>
          <w:sz w:val="24"/>
          <w:szCs w:val="24"/>
        </w:rPr>
      </w:pPr>
      <w:r>
        <w:rPr>
          <w:rFonts w:hint="eastAsia" w:ascii="宋体" w:hAnsi="宋体"/>
          <w:sz w:val="24"/>
          <w:szCs w:val="24"/>
        </w:rPr>
        <w:t>（三）不同投标人的投标文件载明的项目管理成员或者联系人员为同一人；</w:t>
      </w:r>
    </w:p>
    <w:p>
      <w:pPr>
        <w:snapToGrid w:val="0"/>
        <w:spacing w:line="480" w:lineRule="auto"/>
        <w:ind w:firstLine="480" w:firstLineChars="200"/>
        <w:rPr>
          <w:rFonts w:ascii="宋体" w:hAnsi="宋体"/>
          <w:sz w:val="24"/>
          <w:szCs w:val="24"/>
        </w:rPr>
      </w:pPr>
      <w:r>
        <w:rPr>
          <w:rFonts w:hint="eastAsia" w:ascii="宋体" w:hAnsi="宋体"/>
          <w:sz w:val="24"/>
          <w:szCs w:val="24"/>
        </w:rPr>
        <w:t>（四）不同投标人的投标文件异常一致或者投标报价呈规律性差异；</w:t>
      </w:r>
    </w:p>
    <w:p>
      <w:pPr>
        <w:snapToGrid w:val="0"/>
        <w:spacing w:line="480" w:lineRule="auto"/>
        <w:ind w:firstLine="480" w:firstLineChars="200"/>
        <w:rPr>
          <w:rFonts w:ascii="宋体" w:hAnsi="宋体"/>
          <w:sz w:val="24"/>
          <w:szCs w:val="24"/>
        </w:rPr>
      </w:pPr>
      <w:r>
        <w:rPr>
          <w:rFonts w:hint="eastAsia" w:ascii="宋体" w:hAnsi="宋体"/>
          <w:sz w:val="24"/>
          <w:szCs w:val="24"/>
        </w:rPr>
        <w:t>（五）不同投标人的投标文件相互混装；</w:t>
      </w:r>
    </w:p>
    <w:p>
      <w:pPr>
        <w:snapToGrid w:val="0"/>
        <w:spacing w:line="480" w:lineRule="auto"/>
        <w:ind w:firstLine="480" w:firstLineChars="200"/>
        <w:rPr>
          <w:rFonts w:ascii="宋体" w:hAnsi="宋体"/>
          <w:sz w:val="24"/>
          <w:szCs w:val="24"/>
        </w:rPr>
      </w:pPr>
      <w:r>
        <w:rPr>
          <w:rFonts w:hint="eastAsia" w:ascii="宋体" w:hAnsi="宋体"/>
          <w:sz w:val="24"/>
          <w:szCs w:val="24"/>
        </w:rPr>
        <w:t>（六）不同投标人的投标保证金从同一单位或者个人的账户转出。</w:t>
      </w:r>
    </w:p>
    <w:p>
      <w:pPr>
        <w:snapToGrid w:val="0"/>
        <w:spacing w:line="48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、投标人在投标截止时间前，对所提交的投标文件可以补充、修改或者撤回，并书面通知招标人。补充、修改的内容为投标文件的组成部分。</w:t>
      </w:r>
    </w:p>
    <w:p>
      <w:pPr>
        <w:pStyle w:val="4"/>
        <w:snapToGrid w:val="0"/>
        <w:spacing w:line="360" w:lineRule="auto"/>
        <w:ind w:left="0" w:firstLine="0"/>
        <w:rPr>
          <w:rFonts w:ascii="宋体" w:hAnsi="宋体" w:eastAsia="宋体" w:cs="黑体"/>
          <w:bCs/>
          <w:snapToGrid w:val="0"/>
          <w:spacing w:val="-6"/>
          <w:sz w:val="36"/>
          <w:szCs w:val="36"/>
        </w:rPr>
      </w:pPr>
      <w:r>
        <w:rPr>
          <w:rFonts w:hint="eastAsia" w:ascii="宋体" w:hAnsi="宋体" w:eastAsia="宋体" w:cs="黑体"/>
          <w:bCs/>
          <w:snapToGrid w:val="0"/>
          <w:spacing w:val="-6"/>
          <w:sz w:val="36"/>
          <w:szCs w:val="36"/>
        </w:rPr>
        <w:t>第二章 投标文件</w:t>
      </w:r>
      <w:bookmarkEnd w:id="4"/>
      <w:bookmarkEnd w:id="5"/>
      <w:bookmarkEnd w:id="6"/>
      <w:bookmarkEnd w:id="7"/>
    </w:p>
    <w:p>
      <w:pPr>
        <w:spacing w:line="480" w:lineRule="auto"/>
        <w:rPr>
          <w:rFonts w:ascii="宋体" w:hAnsi="宋体" w:cs="宋体"/>
          <w:b/>
          <w:sz w:val="24"/>
          <w:szCs w:val="24"/>
        </w:rPr>
      </w:pPr>
      <w:r>
        <w:rPr>
          <w:rFonts w:hint="eastAsia" w:ascii="宋体" w:hAnsi="宋体" w:cs="宋体"/>
          <w:b/>
          <w:sz w:val="24"/>
          <w:szCs w:val="24"/>
        </w:rPr>
        <w:t>一、资格审查材料，</w:t>
      </w:r>
      <w:r>
        <w:rPr>
          <w:rFonts w:hint="eastAsia" w:ascii="宋体" w:hAnsi="宋体" w:cs="宋体"/>
          <w:b/>
          <w:bCs/>
          <w:sz w:val="24"/>
          <w:szCs w:val="24"/>
        </w:rPr>
        <w:t>证明投标单位符合资格要求的证明材料包括但不限于以下材料（投标文件中提供的材料加盖公章，未加盖公章的视为未提供该项材料。同时按备注要求将原件（或公证件）在投标截止时间前随同投标文件一并提交以供核查，过时不予接收，否则视作无效投标）：</w:t>
      </w:r>
    </w:p>
    <w:p>
      <w:pPr>
        <w:spacing w:line="480" w:lineRule="auto"/>
        <w:rPr>
          <w:rFonts w:ascii="宋体" w:hAnsi="宋体" w:cs="宋体"/>
          <w:sz w:val="24"/>
          <w:szCs w:val="24"/>
        </w:rPr>
      </w:pPr>
      <w:r>
        <w:rPr>
          <w:rFonts w:hint="eastAsia" w:ascii="宋体" w:hAnsi="宋体" w:cs="宋体"/>
          <w:sz w:val="24"/>
          <w:szCs w:val="24"/>
        </w:rPr>
        <w:t>*1、法人资格证明文件及法定代表人身份证彩色复印件并加盖公章；</w:t>
      </w:r>
    </w:p>
    <w:p>
      <w:pPr>
        <w:spacing w:line="480" w:lineRule="auto"/>
        <w:rPr>
          <w:rFonts w:ascii="宋体" w:hAnsi="宋体" w:cs="宋体"/>
          <w:sz w:val="24"/>
          <w:szCs w:val="24"/>
        </w:rPr>
      </w:pPr>
      <w:r>
        <w:rPr>
          <w:rFonts w:hint="eastAsia" w:ascii="宋体" w:hAnsi="宋体" w:cs="宋体"/>
          <w:sz w:val="24"/>
          <w:szCs w:val="24"/>
        </w:rPr>
        <w:t>*2、授权委托书（如果有授权委托情况的，必须提供）；</w:t>
      </w:r>
    </w:p>
    <w:p>
      <w:pPr>
        <w:spacing w:line="480" w:lineRule="auto"/>
        <w:rPr>
          <w:rFonts w:ascii="宋体" w:hAnsi="宋体" w:cs="宋体"/>
          <w:sz w:val="24"/>
          <w:szCs w:val="24"/>
        </w:rPr>
      </w:pPr>
      <w:r>
        <w:rPr>
          <w:rFonts w:hint="eastAsia" w:ascii="宋体" w:hAnsi="宋体" w:cs="宋体"/>
          <w:sz w:val="24"/>
          <w:szCs w:val="24"/>
        </w:rPr>
        <w:t>*3、授权委托人身份证彩色复印件并加盖公章（如果有授权委托情况的，必须提供）；</w:t>
      </w:r>
    </w:p>
    <w:p>
      <w:pPr>
        <w:spacing w:line="480" w:lineRule="auto"/>
        <w:rPr>
          <w:rFonts w:ascii="宋体" w:hAnsi="宋体" w:cs="宋体"/>
          <w:sz w:val="24"/>
          <w:szCs w:val="24"/>
        </w:rPr>
      </w:pPr>
      <w:r>
        <w:rPr>
          <w:rFonts w:hint="eastAsia" w:ascii="宋体" w:hAnsi="宋体" w:cs="宋体"/>
          <w:sz w:val="24"/>
          <w:szCs w:val="24"/>
        </w:rPr>
        <w:t>*4、投标函；</w:t>
      </w:r>
    </w:p>
    <w:p>
      <w:pPr>
        <w:spacing w:line="480" w:lineRule="auto"/>
        <w:rPr>
          <w:rFonts w:ascii="宋体" w:hAnsi="宋体" w:cs="宋体"/>
          <w:sz w:val="24"/>
          <w:szCs w:val="24"/>
        </w:rPr>
      </w:pPr>
      <w:r>
        <w:rPr>
          <w:rFonts w:hint="eastAsia" w:ascii="宋体" w:hAnsi="宋体" w:cs="宋体"/>
          <w:sz w:val="24"/>
          <w:szCs w:val="24"/>
        </w:rPr>
        <w:t>*5、有效的营业执照副本；</w:t>
      </w:r>
    </w:p>
    <w:p>
      <w:pPr>
        <w:spacing w:line="480" w:lineRule="auto"/>
        <w:rPr>
          <w:rFonts w:ascii="宋体" w:hAnsi="宋体" w:cs="宋体"/>
          <w:sz w:val="24"/>
          <w:szCs w:val="24"/>
        </w:rPr>
      </w:pPr>
      <w:r>
        <w:rPr>
          <w:rFonts w:hint="eastAsia" w:ascii="宋体" w:hAnsi="宋体" w:cs="宋体"/>
          <w:sz w:val="24"/>
          <w:szCs w:val="24"/>
        </w:rPr>
        <w:t>*6、依法缴纳税收相关材料（如纳税证明等复印件并加盖公章）；</w:t>
      </w:r>
    </w:p>
    <w:p>
      <w:pPr>
        <w:spacing w:line="480" w:lineRule="auto"/>
        <w:rPr>
          <w:rFonts w:ascii="宋体" w:hAnsi="宋体" w:cs="宋体"/>
          <w:color w:val="auto"/>
          <w:sz w:val="24"/>
          <w:szCs w:val="24"/>
        </w:rPr>
      </w:pPr>
      <w:r>
        <w:rPr>
          <w:rFonts w:hint="eastAsia" w:ascii="宋体" w:hAnsi="宋体" w:cs="宋体"/>
          <w:color w:val="auto"/>
          <w:sz w:val="24"/>
          <w:szCs w:val="24"/>
        </w:rPr>
        <w:t>*7、所有参与本项目的人员的社保缴纳证明（提供复印件或扫描件并加盖公章）；</w:t>
      </w:r>
    </w:p>
    <w:p>
      <w:pPr>
        <w:spacing w:line="48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、参与此次招标项目的项目经理无在建项目承诺书（格式自拟）；</w:t>
      </w:r>
    </w:p>
    <w:p>
      <w:pPr>
        <w:spacing w:line="480" w:lineRule="auto"/>
        <w:rPr>
          <w:rFonts w:ascii="宋体" w:hAnsi="宋体" w:cs="宋体"/>
          <w:b/>
          <w:bCs/>
          <w:sz w:val="24"/>
          <w:szCs w:val="24"/>
        </w:rPr>
      </w:pP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未被“信用中国”网站（www.creditchina.gov.cn）、“中国政府采购网”网站（www.ccgp.gov.cn）列入失信被执行人、重大税收违法案件当事人名单、政府采购严重失信行为记录证明——信用中国报告及政府采购严重违法失信行为信息记录（相关时间显示为本项目招标公告发布时间至投标截止前之间的任意时间）；</w:t>
      </w:r>
    </w:p>
    <w:p>
      <w:pPr>
        <w:spacing w:line="480" w:lineRule="auto"/>
        <w:rPr>
          <w:rFonts w:ascii="宋体" w:hAnsi="宋体" w:cs="宋体"/>
          <w:b/>
          <w:bCs/>
          <w:sz w:val="24"/>
          <w:szCs w:val="24"/>
        </w:rPr>
      </w:pPr>
      <w:r>
        <w:rPr>
          <w:rFonts w:hint="eastAsia" w:ascii="宋体" w:hAnsi="宋体" w:cs="宋体"/>
          <w:b/>
          <w:bCs/>
          <w:sz w:val="24"/>
          <w:szCs w:val="24"/>
        </w:rPr>
        <w:t>二、价格及有关商务部分材料</w:t>
      </w:r>
    </w:p>
    <w:p>
      <w:pPr>
        <w:spacing w:line="480" w:lineRule="auto"/>
        <w:rPr>
          <w:rFonts w:ascii="宋体" w:hAnsi="宋体" w:cs="宋体"/>
          <w:sz w:val="24"/>
          <w:szCs w:val="24"/>
        </w:rPr>
      </w:pPr>
      <w:r>
        <w:rPr>
          <w:rFonts w:hint="eastAsia" w:ascii="宋体" w:hAnsi="宋体" w:cs="宋体"/>
          <w:sz w:val="24"/>
          <w:szCs w:val="24"/>
        </w:rPr>
        <w:t>*1、开标一览表及报价分项表。</w:t>
      </w:r>
    </w:p>
    <w:p>
      <w:pPr>
        <w:numPr>
          <w:ilvl w:val="0"/>
          <w:numId w:val="4"/>
        </w:numPr>
        <w:spacing w:line="480" w:lineRule="auto"/>
        <w:rPr>
          <w:rFonts w:ascii="宋体" w:hAnsi="宋体" w:cs="宋体"/>
          <w:b/>
          <w:sz w:val="24"/>
          <w:szCs w:val="24"/>
        </w:rPr>
      </w:pPr>
      <w:r>
        <w:rPr>
          <w:rFonts w:hint="eastAsia" w:ascii="宋体" w:hAnsi="宋体" w:cs="宋体"/>
          <w:b/>
          <w:sz w:val="24"/>
          <w:szCs w:val="24"/>
        </w:rPr>
        <w:t>技术部分材料</w:t>
      </w:r>
    </w:p>
    <w:p>
      <w:pPr>
        <w:spacing w:line="480" w:lineRule="auto"/>
        <w:rPr>
          <w:rFonts w:ascii="宋体" w:hAnsi="宋体" w:cs="宋体"/>
          <w:sz w:val="24"/>
          <w:szCs w:val="24"/>
        </w:rPr>
      </w:pPr>
      <w:r>
        <w:rPr>
          <w:rFonts w:hint="eastAsia" w:ascii="宋体" w:hAnsi="宋体" w:cs="宋体"/>
          <w:sz w:val="24"/>
          <w:szCs w:val="24"/>
        </w:rPr>
        <w:t>1、投标人情况（含公司简介、典型项目介绍等）；</w:t>
      </w:r>
    </w:p>
    <w:p>
      <w:pPr>
        <w:spacing w:line="480" w:lineRule="auto"/>
        <w:rPr>
          <w:rFonts w:ascii="宋体" w:hAnsi="宋体" w:cs="宋体"/>
          <w:sz w:val="24"/>
          <w:szCs w:val="24"/>
        </w:rPr>
      </w:pPr>
      <w:r>
        <w:rPr>
          <w:rFonts w:hint="eastAsia" w:ascii="宋体" w:hAnsi="宋体" w:cs="宋体"/>
          <w:sz w:val="24"/>
          <w:szCs w:val="24"/>
        </w:rPr>
        <w:t>*2、承诺书；</w:t>
      </w:r>
    </w:p>
    <w:p>
      <w:pPr>
        <w:spacing w:line="480" w:lineRule="auto"/>
        <w:rPr>
          <w:rFonts w:ascii="宋体" w:hAnsi="宋体" w:cs="宋体"/>
          <w:sz w:val="24"/>
          <w:szCs w:val="24"/>
        </w:rPr>
      </w:pPr>
      <w:r>
        <w:rPr>
          <w:rFonts w:hint="eastAsia" w:ascii="宋体" w:hAnsi="宋体" w:cs="宋体"/>
          <w:sz w:val="24"/>
          <w:szCs w:val="24"/>
        </w:rPr>
        <w:t>*3、偏离表；</w:t>
      </w:r>
    </w:p>
    <w:p>
      <w:pPr>
        <w:spacing w:line="480" w:lineRule="auto"/>
        <w:rPr>
          <w:rFonts w:ascii="宋体" w:hAnsi="宋体" w:cs="宋体"/>
          <w:sz w:val="24"/>
          <w:szCs w:val="24"/>
        </w:rPr>
      </w:pPr>
      <w:r>
        <w:rPr>
          <w:rFonts w:hint="eastAsia" w:ascii="宋体" w:hAnsi="宋体" w:cs="宋体"/>
          <w:sz w:val="24"/>
          <w:szCs w:val="24"/>
        </w:rPr>
        <w:t>2、对本次投标其他方面的详细说明(投标人视需要自行编写)。</w:t>
      </w:r>
    </w:p>
    <w:p>
      <w:pPr>
        <w:spacing w:line="480" w:lineRule="auto"/>
        <w:rPr>
          <w:rFonts w:ascii="宋体" w:hAnsi="宋体" w:cs="宋体"/>
          <w:b/>
          <w:sz w:val="24"/>
          <w:szCs w:val="24"/>
        </w:rPr>
      </w:pPr>
      <w:r>
        <w:rPr>
          <w:rFonts w:hint="eastAsia" w:ascii="宋体" w:hAnsi="宋体" w:cs="宋体"/>
          <w:b/>
          <w:sz w:val="24"/>
          <w:szCs w:val="24"/>
        </w:rPr>
        <w:t>四、说明</w:t>
      </w:r>
    </w:p>
    <w:p>
      <w:pPr>
        <w:spacing w:line="480" w:lineRule="auto"/>
        <w:rPr>
          <w:rFonts w:ascii="宋体" w:hAnsi="宋体" w:cs="宋体"/>
          <w:b/>
          <w:bCs/>
          <w:color w:val="000000"/>
          <w:sz w:val="24"/>
          <w:szCs w:val="24"/>
        </w:rPr>
      </w:pPr>
      <w:r>
        <w:rPr>
          <w:rFonts w:hint="eastAsia" w:ascii="宋体" w:hAnsi="宋体" w:cs="宋体"/>
          <w:b/>
          <w:bCs/>
          <w:color w:val="000000"/>
          <w:sz w:val="24"/>
          <w:szCs w:val="24"/>
        </w:rPr>
        <w:t>1、上述带“*”条款投标单位必须在投标文件中提供，否则将作为无效响应处理。</w:t>
      </w:r>
    </w:p>
    <w:p>
      <w:pPr>
        <w:spacing w:line="480" w:lineRule="auto"/>
        <w:rPr>
          <w:rFonts w:ascii="宋体" w:hAnsi="宋体" w:cs="宋体"/>
          <w:color w:val="000000"/>
          <w:sz w:val="24"/>
          <w:szCs w:val="24"/>
        </w:rPr>
      </w:pPr>
      <w:r>
        <w:rPr>
          <w:rFonts w:hint="eastAsia" w:ascii="宋体" w:hAnsi="宋体" w:cs="宋体"/>
          <w:color w:val="000000"/>
          <w:sz w:val="24"/>
          <w:szCs w:val="24"/>
        </w:rPr>
        <w:t>2、对本章所有的格式 ，投标单位可根据自身情况进行补充和修改，但补充和修改不得造成与本格式内容有实质性的违背。投标单位可提供其它相关的证明材料（不限于此）。</w:t>
      </w:r>
    </w:p>
    <w:p>
      <w:pPr>
        <w:spacing w:line="480" w:lineRule="auto"/>
        <w:rPr>
          <w:sz w:val="24"/>
          <w:szCs w:val="28"/>
        </w:rPr>
      </w:pPr>
      <w:r>
        <w:rPr>
          <w:rFonts w:hint="eastAsia" w:ascii="宋体" w:hAnsi="宋体" w:cs="宋体"/>
          <w:color w:val="000000"/>
          <w:sz w:val="24"/>
          <w:szCs w:val="24"/>
        </w:rPr>
        <w:t>3、投标单位需按投标文件的组成要求进行编制。</w:t>
      </w:r>
    </w:p>
    <w:p>
      <w:pPr>
        <w:pStyle w:val="4"/>
        <w:keepNext w:val="0"/>
        <w:snapToGrid w:val="0"/>
        <w:spacing w:line="360" w:lineRule="auto"/>
        <w:ind w:left="0" w:firstLine="0"/>
        <w:rPr>
          <w:rFonts w:ascii="黑体" w:hAnsi="黑体" w:cs="黑体"/>
          <w:b w:val="0"/>
          <w:bCs/>
          <w:snapToGrid w:val="0"/>
          <w:spacing w:val="-6"/>
          <w:sz w:val="36"/>
          <w:szCs w:val="36"/>
        </w:rPr>
      </w:pPr>
      <w:r>
        <w:rPr>
          <w:rFonts w:hint="eastAsia" w:ascii="黑体" w:hAnsi="黑体" w:cs="黑体"/>
          <w:b w:val="0"/>
          <w:bCs/>
          <w:snapToGrid w:val="0"/>
          <w:spacing w:val="-6"/>
          <w:sz w:val="36"/>
          <w:szCs w:val="36"/>
        </w:rPr>
        <w:t>第三章 投标文件密封和提交</w:t>
      </w:r>
      <w:bookmarkEnd w:id="8"/>
      <w:bookmarkEnd w:id="9"/>
      <w:bookmarkEnd w:id="10"/>
      <w:bookmarkEnd w:id="11"/>
    </w:p>
    <w:p>
      <w:pPr>
        <w:snapToGrid w:val="0"/>
        <w:spacing w:line="480" w:lineRule="auto"/>
        <w:rPr>
          <w:rFonts w:ascii="宋体" w:hAnsi="宋体"/>
          <w:b/>
          <w:sz w:val="24"/>
          <w:szCs w:val="24"/>
        </w:rPr>
      </w:pPr>
      <w:bookmarkStart w:id="62" w:name="_Toc288738805"/>
      <w:bookmarkStart w:id="63" w:name="_Toc288738411"/>
      <w:bookmarkStart w:id="64" w:name="_Toc288738337"/>
      <w:r>
        <w:rPr>
          <w:rFonts w:hint="eastAsia" w:ascii="宋体" w:hAnsi="宋体"/>
          <w:b/>
          <w:sz w:val="24"/>
          <w:szCs w:val="24"/>
        </w:rPr>
        <w:t>一、投标文件的密封与标志</w:t>
      </w:r>
      <w:bookmarkEnd w:id="62"/>
      <w:bookmarkEnd w:id="63"/>
      <w:bookmarkEnd w:id="64"/>
    </w:p>
    <w:p>
      <w:pPr>
        <w:snapToGrid w:val="0"/>
        <w:spacing w:line="480" w:lineRule="auto"/>
        <w:ind w:firstLine="480" w:firstLineChars="200"/>
        <w:rPr>
          <w:rFonts w:ascii="宋体" w:hAnsi="宋体"/>
          <w:sz w:val="24"/>
          <w:szCs w:val="24"/>
        </w:rPr>
      </w:pPr>
      <w:r>
        <w:rPr>
          <w:rFonts w:ascii="宋体" w:hAnsi="宋体"/>
          <w:sz w:val="24"/>
          <w:szCs w:val="24"/>
        </w:rPr>
        <w:t>1、投标人应将投标文件密封。</w:t>
      </w:r>
    </w:p>
    <w:p>
      <w:pPr>
        <w:snapToGrid w:val="0"/>
        <w:spacing w:line="480" w:lineRule="auto"/>
        <w:ind w:firstLine="480" w:firstLineChars="200"/>
        <w:rPr>
          <w:rFonts w:ascii="宋体" w:hAnsi="宋体"/>
          <w:sz w:val="24"/>
          <w:szCs w:val="24"/>
        </w:rPr>
      </w:pPr>
      <w:r>
        <w:rPr>
          <w:rFonts w:ascii="宋体" w:hAnsi="宋体"/>
          <w:sz w:val="24"/>
          <w:szCs w:val="24"/>
        </w:rPr>
        <w:t>2、所有封袋上都应写明投标人名称、招标项目名称，招标项目编号，年月日</w:t>
      </w:r>
      <w:r>
        <w:rPr>
          <w:rFonts w:hint="eastAsia" w:ascii="宋体" w:hAnsi="宋体"/>
          <w:sz w:val="24"/>
          <w:szCs w:val="24"/>
        </w:rPr>
        <w:t>，</w:t>
      </w:r>
      <w:r>
        <w:rPr>
          <w:rFonts w:ascii="宋体" w:hAnsi="宋体"/>
          <w:sz w:val="24"/>
          <w:szCs w:val="24"/>
        </w:rPr>
        <w:t>加盖投标人公章。</w:t>
      </w:r>
    </w:p>
    <w:p>
      <w:pPr>
        <w:snapToGrid w:val="0"/>
        <w:spacing w:line="48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、投标人</w:t>
      </w:r>
      <w:r>
        <w:rPr>
          <w:rFonts w:hint="eastAsia" w:ascii="宋体" w:hAnsi="宋体"/>
          <w:sz w:val="24"/>
          <w:szCs w:val="24"/>
        </w:rPr>
        <w:t>违反</w:t>
      </w:r>
      <w:r>
        <w:rPr>
          <w:rFonts w:ascii="宋体" w:hAnsi="宋体"/>
          <w:sz w:val="24"/>
          <w:szCs w:val="24"/>
        </w:rPr>
        <w:t>上述规定</w:t>
      </w:r>
      <w:r>
        <w:rPr>
          <w:rFonts w:hint="eastAsia" w:ascii="宋体" w:hAnsi="宋体"/>
          <w:sz w:val="24"/>
          <w:szCs w:val="24"/>
        </w:rPr>
        <w:t>的</w:t>
      </w:r>
      <w:r>
        <w:rPr>
          <w:rFonts w:ascii="宋体" w:hAnsi="宋体"/>
          <w:sz w:val="24"/>
          <w:szCs w:val="24"/>
        </w:rPr>
        <w:t>，其投标文件将被</w:t>
      </w:r>
      <w:r>
        <w:rPr>
          <w:rFonts w:hint="eastAsia" w:ascii="宋体" w:hAnsi="宋体"/>
          <w:sz w:val="24"/>
          <w:szCs w:val="24"/>
        </w:rPr>
        <w:t>作为无效投标文件，不予拆封和参加评审</w:t>
      </w:r>
      <w:r>
        <w:rPr>
          <w:rFonts w:ascii="宋体" w:hAnsi="宋体"/>
          <w:sz w:val="24"/>
          <w:szCs w:val="24"/>
        </w:rPr>
        <w:t>。</w:t>
      </w:r>
    </w:p>
    <w:p>
      <w:pPr>
        <w:snapToGrid w:val="0"/>
        <w:spacing w:line="480" w:lineRule="auto"/>
        <w:rPr>
          <w:rFonts w:ascii="宋体" w:hAnsi="宋体"/>
          <w:b/>
          <w:sz w:val="24"/>
          <w:szCs w:val="24"/>
        </w:rPr>
      </w:pPr>
      <w:bookmarkStart w:id="65" w:name="_Toc288738338"/>
      <w:bookmarkStart w:id="66" w:name="_Toc288738412"/>
      <w:bookmarkStart w:id="67" w:name="_Toc288738806"/>
      <w:r>
        <w:rPr>
          <w:rFonts w:hint="eastAsia" w:ascii="宋体" w:hAnsi="宋体"/>
          <w:b/>
          <w:sz w:val="24"/>
          <w:szCs w:val="24"/>
        </w:rPr>
        <w:t>二、投标文件提交，截止时间和地</w:t>
      </w:r>
      <w:bookmarkEnd w:id="65"/>
      <w:bookmarkEnd w:id="66"/>
      <w:bookmarkEnd w:id="67"/>
      <w:r>
        <w:rPr>
          <w:rFonts w:hint="eastAsia" w:ascii="宋体" w:hAnsi="宋体"/>
          <w:b/>
          <w:sz w:val="24"/>
          <w:szCs w:val="24"/>
        </w:rPr>
        <w:t>点</w:t>
      </w:r>
    </w:p>
    <w:p>
      <w:pPr>
        <w:snapToGrid w:val="0"/>
        <w:spacing w:line="480" w:lineRule="auto"/>
        <w:ind w:firstLine="480" w:firstLineChars="200"/>
        <w:rPr>
          <w:rFonts w:ascii="宋体" w:hAnsi="宋体"/>
          <w:sz w:val="24"/>
          <w:szCs w:val="24"/>
        </w:rPr>
      </w:pPr>
      <w:r>
        <w:rPr>
          <w:rFonts w:hint="eastAsia" w:ascii="宋体" w:hAnsi="宋体"/>
          <w:sz w:val="24"/>
          <w:szCs w:val="24"/>
        </w:rPr>
        <w:t>投标人须在招标公告规定的投标文件提交截止时间之前在指定地点将投标文件提交给招标人。</w:t>
      </w:r>
    </w:p>
    <w:p>
      <w:pPr>
        <w:spacing w:line="480" w:lineRule="auto"/>
        <w:ind w:firstLine="490" w:firstLineChars="200"/>
        <w:rPr>
          <w:rFonts w:ascii="宋体" w:hAnsi="宋体"/>
          <w:b/>
          <w:spacing w:val="2"/>
          <w:sz w:val="24"/>
          <w:szCs w:val="24"/>
        </w:rPr>
      </w:pPr>
      <w:r>
        <w:rPr>
          <w:rFonts w:hint="eastAsia" w:ascii="宋体" w:hAnsi="宋体"/>
          <w:b/>
          <w:spacing w:val="2"/>
          <w:sz w:val="24"/>
          <w:szCs w:val="24"/>
        </w:rPr>
        <w:t>投标人在提交投标文件时须提供法定代表人或代理人身份证原件，未提供的，集中采购机构不接受其投标文件，不予参加开标和评审。</w:t>
      </w:r>
    </w:p>
    <w:p>
      <w:pPr>
        <w:snapToGrid w:val="0"/>
        <w:spacing w:line="480" w:lineRule="auto"/>
        <w:rPr>
          <w:rFonts w:ascii="宋体" w:hAnsi="宋体"/>
          <w:b/>
          <w:sz w:val="24"/>
          <w:szCs w:val="24"/>
        </w:rPr>
      </w:pPr>
      <w:bookmarkStart w:id="68" w:name="_Toc288738413"/>
      <w:bookmarkStart w:id="69" w:name="_Toc288738807"/>
      <w:bookmarkStart w:id="70" w:name="_Toc288738339"/>
      <w:r>
        <w:rPr>
          <w:rFonts w:hint="eastAsia" w:ascii="宋体" w:hAnsi="宋体"/>
          <w:b/>
          <w:sz w:val="24"/>
          <w:szCs w:val="24"/>
        </w:rPr>
        <w:t>三、投标文件的修改和撤回</w:t>
      </w:r>
      <w:bookmarkEnd w:id="68"/>
      <w:bookmarkEnd w:id="69"/>
      <w:bookmarkEnd w:id="70"/>
    </w:p>
    <w:p>
      <w:pPr>
        <w:adjustRightInd w:val="0"/>
        <w:snapToGrid w:val="0"/>
        <w:spacing w:line="480" w:lineRule="auto"/>
        <w:ind w:firstLine="480" w:firstLineChars="200"/>
        <w:rPr>
          <w:rFonts w:ascii="宋体" w:hAnsi="宋体"/>
          <w:sz w:val="24"/>
          <w:szCs w:val="24"/>
        </w:rPr>
      </w:pPr>
      <w:r>
        <w:rPr>
          <w:rFonts w:ascii="宋体" w:hAnsi="宋体"/>
          <w:sz w:val="24"/>
          <w:szCs w:val="24"/>
        </w:rPr>
        <w:t>在投标截止时间之前，供应商可</w:t>
      </w:r>
      <w:r>
        <w:rPr>
          <w:rFonts w:hint="eastAsia" w:ascii="宋体" w:hAnsi="宋体"/>
          <w:sz w:val="24"/>
          <w:szCs w:val="24"/>
        </w:rPr>
        <w:t>以</w:t>
      </w:r>
      <w:r>
        <w:rPr>
          <w:rFonts w:ascii="宋体" w:hAnsi="宋体"/>
          <w:sz w:val="24"/>
          <w:szCs w:val="24"/>
        </w:rPr>
        <w:t>对所提交的投标文件进行</w:t>
      </w:r>
      <w:r>
        <w:rPr>
          <w:rFonts w:hint="eastAsia" w:ascii="宋体" w:hAnsi="宋体"/>
          <w:sz w:val="24"/>
          <w:szCs w:val="24"/>
        </w:rPr>
        <w:t>补充、</w:t>
      </w:r>
      <w:r>
        <w:rPr>
          <w:rFonts w:ascii="宋体" w:hAnsi="宋体"/>
          <w:sz w:val="24"/>
          <w:szCs w:val="24"/>
        </w:rPr>
        <w:t>修改和撤回，</w:t>
      </w:r>
      <w:r>
        <w:rPr>
          <w:rFonts w:hint="eastAsia" w:ascii="宋体" w:hAnsi="宋体"/>
          <w:sz w:val="24"/>
          <w:szCs w:val="24"/>
        </w:rPr>
        <w:t>并书面通知招标采购单位。</w:t>
      </w:r>
      <w:r>
        <w:rPr>
          <w:rFonts w:ascii="宋体" w:hAnsi="宋体"/>
          <w:sz w:val="24"/>
          <w:szCs w:val="24"/>
        </w:rPr>
        <w:t>所提交的</w:t>
      </w:r>
      <w:r>
        <w:rPr>
          <w:rFonts w:hint="eastAsia" w:ascii="宋体" w:hAnsi="宋体"/>
          <w:sz w:val="24"/>
          <w:szCs w:val="24"/>
        </w:rPr>
        <w:t>补充、</w:t>
      </w:r>
      <w:r>
        <w:rPr>
          <w:rFonts w:ascii="宋体" w:hAnsi="宋体"/>
          <w:sz w:val="24"/>
          <w:szCs w:val="24"/>
        </w:rPr>
        <w:t>修改</w:t>
      </w:r>
      <w:r>
        <w:rPr>
          <w:rFonts w:hint="eastAsia" w:ascii="宋体" w:hAnsi="宋体"/>
          <w:sz w:val="24"/>
          <w:szCs w:val="24"/>
        </w:rPr>
        <w:t>的内容应当</w:t>
      </w:r>
      <w:r>
        <w:rPr>
          <w:rFonts w:ascii="宋体" w:hAnsi="宋体"/>
          <w:sz w:val="24"/>
          <w:szCs w:val="24"/>
        </w:rPr>
        <w:t>按招标文件的</w:t>
      </w:r>
      <w:r>
        <w:rPr>
          <w:rFonts w:hint="eastAsia" w:ascii="宋体" w:hAnsi="宋体"/>
          <w:sz w:val="24"/>
          <w:szCs w:val="24"/>
        </w:rPr>
        <w:t>要求</w:t>
      </w:r>
      <w:r>
        <w:rPr>
          <w:rFonts w:ascii="宋体" w:hAnsi="宋体"/>
          <w:sz w:val="24"/>
          <w:szCs w:val="24"/>
        </w:rPr>
        <w:t>进行编制、</w:t>
      </w:r>
      <w:r>
        <w:rPr>
          <w:rFonts w:hint="eastAsia" w:ascii="宋体" w:hAnsi="宋体"/>
          <w:sz w:val="24"/>
          <w:szCs w:val="24"/>
        </w:rPr>
        <w:t>签署、</w:t>
      </w:r>
      <w:r>
        <w:rPr>
          <w:rFonts w:ascii="宋体" w:hAnsi="宋体"/>
          <w:sz w:val="24"/>
          <w:szCs w:val="24"/>
        </w:rPr>
        <w:t>密封、</w:t>
      </w:r>
      <w:r>
        <w:rPr>
          <w:rFonts w:hint="eastAsia" w:ascii="宋体" w:hAnsi="宋体"/>
          <w:sz w:val="24"/>
          <w:szCs w:val="24"/>
        </w:rPr>
        <w:t>盖章、</w:t>
      </w:r>
      <w:r>
        <w:rPr>
          <w:rFonts w:ascii="宋体" w:hAnsi="宋体"/>
          <w:sz w:val="24"/>
          <w:szCs w:val="24"/>
        </w:rPr>
        <w:t>标志（在包封上标明“修改”或“</w:t>
      </w:r>
      <w:r>
        <w:rPr>
          <w:rFonts w:hint="eastAsia" w:ascii="宋体" w:hAnsi="宋体"/>
          <w:sz w:val="24"/>
          <w:szCs w:val="24"/>
        </w:rPr>
        <w:t>补充</w:t>
      </w:r>
      <w:r>
        <w:rPr>
          <w:rFonts w:ascii="宋体" w:hAnsi="宋体"/>
          <w:sz w:val="24"/>
          <w:szCs w:val="24"/>
        </w:rPr>
        <w:t>”字样，并注明修改或</w:t>
      </w:r>
      <w:r>
        <w:rPr>
          <w:rFonts w:hint="eastAsia" w:ascii="宋体" w:hAnsi="宋体"/>
          <w:sz w:val="24"/>
          <w:szCs w:val="24"/>
        </w:rPr>
        <w:t>补充</w:t>
      </w:r>
      <w:r>
        <w:rPr>
          <w:rFonts w:ascii="宋体" w:hAnsi="宋体"/>
          <w:sz w:val="24"/>
          <w:szCs w:val="24"/>
        </w:rPr>
        <w:t>的时间）和提交</w:t>
      </w:r>
      <w:r>
        <w:rPr>
          <w:rFonts w:hint="eastAsia" w:ascii="宋体" w:hAnsi="宋体"/>
          <w:sz w:val="24"/>
          <w:szCs w:val="24"/>
        </w:rPr>
        <w:t>，并作为投标文件的组成部分。补充、修改的内容与投标文件不一致的，以补充、修改的内容为准</w:t>
      </w:r>
      <w:r>
        <w:rPr>
          <w:rFonts w:ascii="宋体" w:hAnsi="宋体"/>
          <w:sz w:val="24"/>
          <w:szCs w:val="24"/>
        </w:rPr>
        <w:t>。投标截止时间之后，供应商不得</w:t>
      </w:r>
      <w:r>
        <w:rPr>
          <w:rFonts w:hint="eastAsia" w:ascii="宋体" w:hAnsi="宋体"/>
          <w:sz w:val="24"/>
          <w:szCs w:val="24"/>
        </w:rPr>
        <w:t>补充、</w:t>
      </w:r>
      <w:r>
        <w:rPr>
          <w:rFonts w:ascii="宋体" w:hAnsi="宋体"/>
          <w:sz w:val="24"/>
          <w:szCs w:val="24"/>
        </w:rPr>
        <w:t>修改或撤回投标文件。</w:t>
      </w:r>
      <w:r>
        <w:rPr>
          <w:rFonts w:hint="eastAsia" w:ascii="宋体" w:hAnsi="宋体"/>
          <w:sz w:val="24"/>
          <w:szCs w:val="24"/>
        </w:rPr>
        <w:t> </w:t>
      </w:r>
    </w:p>
    <w:p>
      <w:pPr>
        <w:spacing w:line="480" w:lineRule="auto"/>
        <w:rPr>
          <w:sz w:val="24"/>
          <w:szCs w:val="24"/>
        </w:rPr>
      </w:pPr>
    </w:p>
    <w:p>
      <w:pPr>
        <w:pStyle w:val="4"/>
        <w:keepNext w:val="0"/>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第四章 投标报价</w:t>
      </w:r>
      <w:bookmarkEnd w:id="12"/>
      <w:bookmarkEnd w:id="13"/>
      <w:bookmarkEnd w:id="14"/>
      <w:bookmarkEnd w:id="15"/>
    </w:p>
    <w:p>
      <w:pPr>
        <w:snapToGrid w:val="0"/>
        <w:spacing w:line="480" w:lineRule="auto"/>
        <w:rPr>
          <w:rFonts w:ascii="宋体" w:hAnsi="宋体"/>
          <w:b/>
          <w:sz w:val="24"/>
          <w:szCs w:val="24"/>
        </w:rPr>
      </w:pPr>
      <w:bookmarkStart w:id="71" w:name="_Toc288738809"/>
      <w:bookmarkStart w:id="72" w:name="_Toc288738415"/>
      <w:bookmarkStart w:id="73" w:name="_Toc288738341"/>
      <w:r>
        <w:rPr>
          <w:rFonts w:hint="eastAsia" w:ascii="宋体" w:hAnsi="宋体"/>
          <w:b/>
          <w:sz w:val="24"/>
          <w:szCs w:val="24"/>
        </w:rPr>
        <w:t>一、投标总价应包括招标文件所确定的招标范围内所有服务内容以及相应的管理、劳务、培训、必须的备件和工具、运送工具及耗材、利润、风险、税金及政策性文件规定等所有费用，以及为完成该项目所涉及到的一切其他相关费用。</w:t>
      </w:r>
      <w:bookmarkEnd w:id="71"/>
      <w:bookmarkEnd w:id="72"/>
      <w:bookmarkEnd w:id="73"/>
    </w:p>
    <w:p>
      <w:pPr>
        <w:snapToGrid w:val="0"/>
        <w:spacing w:line="480" w:lineRule="auto"/>
        <w:rPr>
          <w:rFonts w:ascii="宋体" w:hAnsi="宋体"/>
          <w:sz w:val="24"/>
          <w:szCs w:val="24"/>
        </w:rPr>
      </w:pPr>
      <w:bookmarkStart w:id="74" w:name="_Toc288738342"/>
      <w:bookmarkStart w:id="75" w:name="_Toc288738416"/>
      <w:bookmarkStart w:id="76" w:name="_Toc288738810"/>
      <w:r>
        <w:rPr>
          <w:rFonts w:hint="eastAsia" w:ascii="宋体" w:hAnsi="宋体"/>
          <w:b/>
          <w:sz w:val="24"/>
          <w:szCs w:val="24"/>
        </w:rPr>
        <w:t>二、投标报价方式</w:t>
      </w:r>
      <w:bookmarkEnd w:id="74"/>
      <w:bookmarkEnd w:id="75"/>
      <w:bookmarkEnd w:id="76"/>
    </w:p>
    <w:p>
      <w:pPr>
        <w:snapToGrid w:val="0"/>
        <w:spacing w:line="480" w:lineRule="auto"/>
        <w:ind w:firstLine="480" w:firstLineChars="200"/>
        <w:rPr>
          <w:rFonts w:ascii="宋体" w:hAnsi="宋体"/>
          <w:sz w:val="24"/>
          <w:szCs w:val="24"/>
        </w:rPr>
      </w:pPr>
      <w:r>
        <w:rPr>
          <w:rFonts w:hint="eastAsia" w:ascii="宋体" w:hAnsi="宋体"/>
          <w:sz w:val="24"/>
          <w:szCs w:val="24"/>
        </w:rPr>
        <w:t>1、投标人应按照招标文件中提供的格式完整、正确填写投标书、开标一览表。开标一览表中的报价应与投标报价表的总价完全一致，如有不一致的，以开标一览表的报价为准。</w:t>
      </w:r>
    </w:p>
    <w:p>
      <w:pPr>
        <w:snapToGrid w:val="0"/>
        <w:spacing w:line="480" w:lineRule="auto"/>
        <w:ind w:firstLine="480" w:firstLineChars="200"/>
        <w:rPr>
          <w:rFonts w:ascii="宋体" w:hAnsi="宋体"/>
          <w:sz w:val="24"/>
          <w:szCs w:val="24"/>
        </w:rPr>
      </w:pPr>
      <w:r>
        <w:rPr>
          <w:rFonts w:hint="eastAsia" w:ascii="宋体" w:hAnsi="宋体"/>
          <w:sz w:val="24"/>
          <w:szCs w:val="24"/>
        </w:rPr>
        <w:t>报价货币为人民币，评标时以人民币为准。</w:t>
      </w:r>
    </w:p>
    <w:p>
      <w:pPr>
        <w:snapToGrid w:val="0"/>
        <w:spacing w:line="480" w:lineRule="auto"/>
        <w:ind w:firstLine="480" w:firstLineChars="200"/>
        <w:rPr>
          <w:rFonts w:ascii="宋体" w:hAnsi="宋体"/>
          <w:sz w:val="24"/>
          <w:szCs w:val="24"/>
        </w:rPr>
      </w:pPr>
      <w:r>
        <w:rPr>
          <w:rFonts w:hint="eastAsia" w:ascii="宋体" w:hAnsi="宋体"/>
          <w:sz w:val="24"/>
          <w:szCs w:val="24"/>
        </w:rPr>
        <w:t>2、投标人应按照招标文件规定格式填报分项报价表。</w:t>
      </w:r>
    </w:p>
    <w:p>
      <w:pPr>
        <w:snapToGrid w:val="0"/>
        <w:spacing w:line="480" w:lineRule="auto"/>
        <w:ind w:firstLine="480" w:firstLineChars="200"/>
        <w:rPr>
          <w:rFonts w:ascii="宋体" w:hAnsi="宋体"/>
          <w:sz w:val="24"/>
          <w:szCs w:val="24"/>
        </w:rPr>
      </w:pPr>
      <w:r>
        <w:rPr>
          <w:rFonts w:hint="eastAsia" w:ascii="宋体" w:hAnsi="宋体"/>
          <w:sz w:val="24"/>
          <w:szCs w:val="24"/>
        </w:rPr>
        <w:t>3、投标人需对每部分报价包含的服务内容进行明确说明。如有特别承诺，也需明确说明。</w:t>
      </w:r>
    </w:p>
    <w:p>
      <w:pPr>
        <w:spacing w:line="480" w:lineRule="auto"/>
        <w:ind w:firstLine="480" w:firstLineChars="200"/>
        <w:rPr>
          <w:rFonts w:ascii="宋体" w:hAnsi="宋体" w:cs="宋体"/>
          <w:sz w:val="24"/>
          <w:szCs w:val="24"/>
        </w:rPr>
      </w:pPr>
      <w:r>
        <w:rPr>
          <w:rFonts w:hint="eastAsia" w:ascii="宋体" w:hAnsi="宋体"/>
          <w:sz w:val="24"/>
          <w:szCs w:val="24"/>
        </w:rPr>
        <w:t>4、</w:t>
      </w:r>
      <w:r>
        <w:rPr>
          <w:rFonts w:hint="eastAsia" w:ascii="宋体" w:hAnsi="宋体" w:cs="宋体"/>
          <w:sz w:val="24"/>
          <w:szCs w:val="24"/>
        </w:rPr>
        <w:t>一项内容只允许一个报价，本项目不接受任何有选择性的报价或附条件的报价。</w:t>
      </w:r>
    </w:p>
    <w:p>
      <w:pPr>
        <w:spacing w:line="480" w:lineRule="auto"/>
        <w:rPr>
          <w:rFonts w:ascii="宋体" w:hAnsi="宋体" w:cs="宋体"/>
          <w:sz w:val="24"/>
          <w:szCs w:val="24"/>
        </w:rPr>
      </w:pPr>
      <w:r>
        <w:rPr>
          <w:rFonts w:hint="eastAsia" w:ascii="宋体" w:hAnsi="宋体" w:cs="宋体"/>
          <w:sz w:val="24"/>
          <w:szCs w:val="24"/>
        </w:rPr>
        <w:t>投标文件报价中的单价和总价全部采用人民币表示，除非合同的特殊条款另有规定。</w:t>
      </w:r>
    </w:p>
    <w:p>
      <w:pPr>
        <w:spacing w:line="480" w:lineRule="auto"/>
        <w:rPr>
          <w:rFonts w:ascii="宋体" w:hAnsi="宋体"/>
          <w:sz w:val="24"/>
          <w:szCs w:val="24"/>
        </w:rPr>
      </w:pPr>
      <w:r>
        <w:rPr>
          <w:rFonts w:hint="eastAsia" w:ascii="宋体" w:hAnsi="宋体" w:cs="宋体"/>
          <w:b/>
          <w:bCs/>
          <w:sz w:val="24"/>
          <w:szCs w:val="24"/>
        </w:rPr>
        <w:t>本工程采用固定综合单价承包，</w:t>
      </w:r>
      <w:r>
        <w:rPr>
          <w:rFonts w:hint="eastAsia" w:ascii="宋体" w:hAnsi="宋体"/>
          <w:sz w:val="24"/>
          <w:szCs w:val="24"/>
        </w:rPr>
        <w:t xml:space="preserve">本项目的最高限价为 </w:t>
      </w:r>
      <w:r>
        <w:rPr>
          <w:rFonts w:hint="eastAsia" w:ascii="宋体" w:hAnsi="宋体"/>
          <w:sz w:val="24"/>
          <w:szCs w:val="24"/>
          <w:u w:val="single"/>
        </w:rPr>
        <w:t xml:space="preserve"> 287858.75元</w:t>
      </w:r>
      <w:r>
        <w:rPr>
          <w:rFonts w:hint="eastAsia" w:ascii="宋体" w:hAnsi="宋体"/>
          <w:sz w:val="24"/>
          <w:szCs w:val="24"/>
        </w:rPr>
        <w:t>，投标报价高于最高限价的作为无效投标处理。</w:t>
      </w:r>
    </w:p>
    <w:p>
      <w:pPr>
        <w:spacing w:line="480" w:lineRule="auto"/>
        <w:ind w:firstLine="480" w:firstLineChars="200"/>
        <w:rPr>
          <w:rFonts w:ascii="宋体" w:hAnsi="宋体"/>
          <w:b/>
          <w:sz w:val="24"/>
          <w:szCs w:val="24"/>
        </w:rPr>
      </w:pPr>
      <w:r>
        <w:rPr>
          <w:rFonts w:hint="eastAsia" w:ascii="宋体" w:hAnsi="宋体"/>
          <w:sz w:val="24"/>
          <w:szCs w:val="24"/>
        </w:rPr>
        <w:t>5、</w:t>
      </w:r>
      <w:r>
        <w:rPr>
          <w:rFonts w:hint="eastAsia" w:ascii="宋体" w:hAnsi="宋体"/>
          <w:b/>
          <w:bCs/>
          <w:sz w:val="24"/>
          <w:szCs w:val="24"/>
        </w:rPr>
        <w:t>投标人所报的各分项投标单价在合同履行过程中是固定不变的，不得以任何理由予以变更。任何包含价格调整要求的投标，</w:t>
      </w:r>
      <w:r>
        <w:rPr>
          <w:rFonts w:hint="eastAsia" w:ascii="宋体" w:hAnsi="宋体"/>
          <w:b/>
          <w:sz w:val="24"/>
          <w:szCs w:val="24"/>
        </w:rPr>
        <w:t>其投标将被认定为投标无效。</w:t>
      </w:r>
    </w:p>
    <w:p>
      <w:pPr>
        <w:pStyle w:val="19"/>
        <w:numPr>
          <w:ilvl w:val="0"/>
          <w:numId w:val="5"/>
        </w:numPr>
        <w:rPr>
          <w:rFonts w:hAnsi="宋体" w:cs="宋体"/>
          <w:sz w:val="24"/>
          <w:szCs w:val="24"/>
        </w:rPr>
      </w:pPr>
      <w:r>
        <w:rPr>
          <w:rFonts w:hint="eastAsia" w:hAnsi="宋体"/>
          <w:b/>
          <w:sz w:val="24"/>
          <w:szCs w:val="24"/>
        </w:rPr>
        <w:t>每项服务只能有一个投标报价，采购人不接受具有附加条件的报价</w:t>
      </w:r>
      <w:r>
        <w:rPr>
          <w:rFonts w:hAnsi="宋体"/>
          <w:b/>
          <w:sz w:val="24"/>
          <w:szCs w:val="24"/>
        </w:rPr>
        <w:t>，</w:t>
      </w:r>
      <w:r>
        <w:rPr>
          <w:rFonts w:hint="eastAsia" w:hAnsi="宋体"/>
          <w:b/>
          <w:sz w:val="24"/>
          <w:szCs w:val="24"/>
        </w:rPr>
        <w:t>含有附加条件的报价视为无效投标。</w:t>
      </w:r>
    </w:p>
    <w:p>
      <w:pPr>
        <w:pStyle w:val="19"/>
        <w:numPr>
          <w:ilvl w:val="0"/>
          <w:numId w:val="5"/>
        </w:numPr>
        <w:rPr>
          <w:rFonts w:hAnsi="宋体" w:cs="宋体"/>
          <w:sz w:val="24"/>
          <w:szCs w:val="24"/>
        </w:rPr>
      </w:pPr>
      <w:r>
        <w:rPr>
          <w:rFonts w:hint="eastAsia" w:hAnsi="宋体" w:cs="宋体"/>
          <w:sz w:val="24"/>
          <w:szCs w:val="24"/>
        </w:rPr>
        <w:t>本项目投标报价为</w:t>
      </w:r>
      <w:r>
        <w:rPr>
          <w:rFonts w:hint="eastAsia" w:hAnsi="宋体" w:cs="宋体"/>
          <w:b/>
          <w:bCs/>
          <w:sz w:val="24"/>
          <w:szCs w:val="24"/>
          <w:u w:val="single"/>
        </w:rPr>
        <w:t>固定综合单价</w:t>
      </w:r>
      <w:r>
        <w:rPr>
          <w:rFonts w:hint="eastAsia" w:hAnsi="宋体" w:cs="宋体"/>
          <w:sz w:val="24"/>
          <w:szCs w:val="24"/>
        </w:rPr>
        <w:t>，综合单价应包括但不限于招标文件及其基本技术要求范围内相应服务前的准备（包括现场踏勘等）、</w:t>
      </w:r>
      <w:r>
        <w:rPr>
          <w:rFonts w:hint="eastAsia" w:hAnsi="宋体" w:cs="宋体"/>
          <w:b/>
          <w:bCs/>
          <w:sz w:val="24"/>
          <w:szCs w:val="24"/>
        </w:rPr>
        <w:t>管理、劳务、培训、利润、税金、风险及政策性文件规定等各项应有费用，以及为完成招标文件规定的服务工作所涉及到的一切相关费用。投标人报价包括但不限于修理、保养维护等相关人工及培训费用及装修装饰维护、恢复等辅材费用。</w:t>
      </w:r>
      <w:r>
        <w:rPr>
          <w:rFonts w:hint="eastAsia" w:hAnsi="宋体" w:cs="宋体"/>
          <w:sz w:val="24"/>
          <w:szCs w:val="24"/>
        </w:rPr>
        <w:t>此外，除非合同条款中另有规定，否则，投标人所报价格在合同投标、实施期间不因市场变化因素而变动。</w:t>
      </w:r>
    </w:p>
    <w:p>
      <w:pPr>
        <w:snapToGrid w:val="0"/>
        <w:spacing w:line="480" w:lineRule="auto"/>
        <w:ind w:firstLine="480" w:firstLineChars="200"/>
        <w:rPr>
          <w:rFonts w:ascii="宋体" w:hAnsi="宋体"/>
          <w:bCs/>
          <w:sz w:val="24"/>
          <w:szCs w:val="24"/>
        </w:rPr>
      </w:pPr>
    </w:p>
    <w:p>
      <w:pPr>
        <w:spacing w:line="480" w:lineRule="auto"/>
        <w:rPr>
          <w:sz w:val="28"/>
          <w:szCs w:val="28"/>
        </w:rPr>
      </w:pPr>
    </w:p>
    <w:p>
      <w:pPr>
        <w:pStyle w:val="4"/>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第五章  开标、评标、定标</w:t>
      </w:r>
      <w:bookmarkEnd w:id="16"/>
      <w:bookmarkEnd w:id="17"/>
      <w:bookmarkEnd w:id="18"/>
      <w:bookmarkEnd w:id="19"/>
    </w:p>
    <w:p>
      <w:pPr>
        <w:snapToGrid w:val="0"/>
        <w:spacing w:line="480" w:lineRule="auto"/>
        <w:rPr>
          <w:rFonts w:ascii="宋体" w:hAnsi="宋体" w:cs="宋体"/>
          <w:b/>
          <w:sz w:val="24"/>
          <w:szCs w:val="24"/>
        </w:rPr>
      </w:pPr>
      <w:bookmarkStart w:id="77" w:name="_Toc288738418"/>
      <w:bookmarkStart w:id="78" w:name="_Toc288738344"/>
      <w:bookmarkStart w:id="79" w:name="_Toc288738812"/>
      <w:r>
        <w:rPr>
          <w:rFonts w:hint="eastAsia" w:ascii="宋体" w:hAnsi="宋体" w:cs="宋体"/>
          <w:b/>
          <w:sz w:val="24"/>
          <w:szCs w:val="24"/>
        </w:rPr>
        <w:t>一、答疑，开标评标会议时间和地点</w:t>
      </w:r>
      <w:bookmarkEnd w:id="77"/>
      <w:bookmarkEnd w:id="78"/>
      <w:bookmarkEnd w:id="79"/>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详见招标公告或前附表。</w:t>
      </w:r>
    </w:p>
    <w:p>
      <w:pPr>
        <w:snapToGrid w:val="0"/>
        <w:spacing w:line="480" w:lineRule="auto"/>
        <w:rPr>
          <w:rFonts w:ascii="宋体" w:hAnsi="宋体" w:cs="宋体"/>
          <w:b/>
          <w:sz w:val="24"/>
          <w:szCs w:val="24"/>
        </w:rPr>
      </w:pPr>
      <w:bookmarkStart w:id="80" w:name="_Toc288738813"/>
      <w:bookmarkStart w:id="81" w:name="_Toc288738419"/>
      <w:bookmarkStart w:id="82" w:name="_Toc288738345"/>
      <w:r>
        <w:rPr>
          <w:rFonts w:hint="eastAsia" w:ascii="宋体" w:hAnsi="宋体" w:cs="宋体"/>
          <w:b/>
          <w:sz w:val="24"/>
          <w:szCs w:val="24"/>
        </w:rPr>
        <w:t>二、评审、定标方法</w:t>
      </w:r>
      <w:bookmarkEnd w:id="80"/>
      <w:bookmarkEnd w:id="81"/>
      <w:bookmarkEnd w:id="82"/>
    </w:p>
    <w:p>
      <w:pPr>
        <w:spacing w:line="480" w:lineRule="auto"/>
        <w:ind w:firstLine="482" w:firstLineChars="200"/>
        <w:rPr>
          <w:rFonts w:ascii="宋体" w:hAnsi="宋体" w:cs="宋体"/>
          <w:b/>
          <w:sz w:val="24"/>
          <w:szCs w:val="24"/>
        </w:rPr>
      </w:pPr>
      <w:bookmarkStart w:id="83" w:name="_Toc288738346"/>
      <w:bookmarkStart w:id="84" w:name="_Toc288738814"/>
      <w:bookmarkStart w:id="85" w:name="_Toc288738420"/>
      <w:r>
        <w:rPr>
          <w:rFonts w:hint="eastAsia" w:ascii="宋体" w:hAnsi="宋体" w:cs="宋体"/>
          <w:b/>
          <w:sz w:val="24"/>
          <w:szCs w:val="24"/>
        </w:rPr>
        <w:t>本项目采用综合评分法，投标文件满足招标文件全部实质性要求且按照评审因素的量化指标（即评分细则）得分最高得供应商为中标人。</w:t>
      </w:r>
    </w:p>
    <w:p>
      <w:pPr>
        <w:snapToGrid w:val="0"/>
        <w:spacing w:line="480" w:lineRule="auto"/>
        <w:rPr>
          <w:rFonts w:ascii="宋体" w:hAnsi="宋体" w:cs="宋体"/>
          <w:b/>
          <w:sz w:val="24"/>
          <w:szCs w:val="24"/>
        </w:rPr>
      </w:pPr>
      <w:r>
        <w:rPr>
          <w:rFonts w:hint="eastAsia" w:ascii="宋体" w:hAnsi="宋体" w:cs="宋体"/>
          <w:b/>
          <w:sz w:val="24"/>
          <w:szCs w:val="24"/>
        </w:rPr>
        <w:t>三、开标评标会</w:t>
      </w:r>
      <w:bookmarkEnd w:id="83"/>
      <w:bookmarkEnd w:id="84"/>
      <w:bookmarkEnd w:id="85"/>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开标会议按招标文件中规定的时间、地点举行，由代理机构主持，邀请投标人参加。投标人参加开标会的应由法定代表人或者委托代理人携带身份证明原件准时参加。</w:t>
      </w:r>
    </w:p>
    <w:p>
      <w:pPr>
        <w:snapToGrid w:val="0"/>
        <w:spacing w:line="480" w:lineRule="auto"/>
        <w:rPr>
          <w:rFonts w:ascii="宋体" w:hAnsi="宋体" w:cs="宋体"/>
          <w:sz w:val="24"/>
          <w:szCs w:val="24"/>
        </w:rPr>
      </w:pPr>
      <w:bookmarkStart w:id="86" w:name="_Toc288738347"/>
      <w:bookmarkStart w:id="87" w:name="_Toc288738815"/>
      <w:bookmarkStart w:id="88" w:name="_Toc288738421"/>
      <w:r>
        <w:rPr>
          <w:rFonts w:hint="eastAsia" w:ascii="宋体" w:hAnsi="宋体" w:cs="宋体"/>
          <w:b/>
          <w:sz w:val="24"/>
          <w:szCs w:val="24"/>
        </w:rPr>
        <w:t>四、</w:t>
      </w:r>
      <w:bookmarkEnd w:id="86"/>
      <w:bookmarkEnd w:id="87"/>
      <w:bookmarkEnd w:id="88"/>
      <w:r>
        <w:rPr>
          <w:rFonts w:hint="eastAsia" w:ascii="宋体" w:hAnsi="宋体" w:cs="宋体"/>
          <w:sz w:val="24"/>
          <w:szCs w:val="24"/>
        </w:rPr>
        <w:t>开标时，由投标人或者其推选的代表检查投标文件的密封情况；经确认无误后，由采购人或者采购代理机构工作人员当众拆封，宣布投标人名称、投标价格和招标文件规定的需要宣布的其他内容。投标人不足3家的，不得开标。</w:t>
      </w:r>
    </w:p>
    <w:p>
      <w:pPr>
        <w:snapToGrid w:val="0"/>
        <w:spacing w:line="480" w:lineRule="auto"/>
        <w:rPr>
          <w:rFonts w:ascii="宋体" w:hAnsi="宋体" w:cs="宋体"/>
          <w:sz w:val="24"/>
          <w:szCs w:val="24"/>
        </w:rPr>
      </w:pPr>
      <w:bookmarkStart w:id="89" w:name="_Toc288738422"/>
      <w:bookmarkStart w:id="90" w:name="_Toc288738816"/>
      <w:bookmarkStart w:id="91" w:name="_Toc288738348"/>
      <w:r>
        <w:rPr>
          <w:rFonts w:hint="eastAsia" w:ascii="宋体" w:hAnsi="宋体" w:cs="宋体"/>
          <w:b/>
          <w:sz w:val="24"/>
          <w:szCs w:val="24"/>
        </w:rPr>
        <w:t>五、</w:t>
      </w:r>
      <w:bookmarkEnd w:id="89"/>
      <w:bookmarkEnd w:id="90"/>
      <w:bookmarkEnd w:id="91"/>
      <w:r>
        <w:rPr>
          <w:rFonts w:hint="eastAsia" w:ascii="宋体" w:hAnsi="宋体" w:cs="宋体"/>
          <w:sz w:val="24"/>
          <w:szCs w:val="24"/>
        </w:rPr>
        <w:t>采购人或采购代理机构将对开标过程进行记录，由参加开标的各投标人代表签字确认，并存档备查。</w:t>
      </w:r>
    </w:p>
    <w:p>
      <w:pPr>
        <w:snapToGrid w:val="0"/>
        <w:spacing w:line="480" w:lineRule="auto"/>
        <w:rPr>
          <w:rFonts w:ascii="宋体" w:hAnsi="宋体" w:cs="宋体"/>
          <w:b/>
          <w:sz w:val="24"/>
          <w:szCs w:val="24"/>
        </w:rPr>
      </w:pPr>
      <w:bookmarkStart w:id="92" w:name="_Toc288738423"/>
      <w:bookmarkStart w:id="93" w:name="_Toc288738817"/>
      <w:bookmarkStart w:id="94" w:name="_Toc288738349"/>
      <w:r>
        <w:rPr>
          <w:rFonts w:hint="eastAsia" w:ascii="宋体" w:hAnsi="宋体" w:cs="宋体"/>
          <w:b/>
          <w:sz w:val="24"/>
          <w:szCs w:val="24"/>
        </w:rPr>
        <w:t>六、投标</w:t>
      </w:r>
      <w:r>
        <w:rPr>
          <w:rFonts w:ascii="宋体" w:hAnsi="宋体" w:cs="宋体"/>
          <w:b/>
          <w:sz w:val="24"/>
          <w:szCs w:val="24"/>
        </w:rPr>
        <w:t>过程中或投标</w:t>
      </w:r>
      <w:r>
        <w:rPr>
          <w:rFonts w:hint="eastAsia" w:ascii="宋体" w:hAnsi="宋体" w:cs="宋体"/>
          <w:b/>
          <w:sz w:val="24"/>
          <w:szCs w:val="24"/>
        </w:rPr>
        <w:t>文件出现下列情况之一的，</w:t>
      </w:r>
      <w:r>
        <w:rPr>
          <w:rFonts w:ascii="宋体" w:hAnsi="宋体" w:cs="宋体"/>
          <w:b/>
          <w:sz w:val="24"/>
          <w:szCs w:val="24"/>
        </w:rPr>
        <w:t>投标无效</w:t>
      </w:r>
      <w:r>
        <w:rPr>
          <w:rFonts w:hint="eastAsia" w:ascii="宋体" w:hAnsi="宋体" w:cs="宋体"/>
          <w:b/>
          <w:sz w:val="24"/>
          <w:szCs w:val="24"/>
        </w:rPr>
        <w:t>，</w:t>
      </w:r>
      <w:r>
        <w:rPr>
          <w:rFonts w:ascii="宋体" w:hAnsi="宋体" w:cs="宋体"/>
          <w:b/>
          <w:sz w:val="24"/>
          <w:szCs w:val="24"/>
        </w:rPr>
        <w:t>其中</w:t>
      </w:r>
      <w:r>
        <w:rPr>
          <w:rFonts w:hint="eastAsia" w:ascii="宋体" w:hAnsi="宋体" w:cs="宋体"/>
          <w:b/>
          <w:sz w:val="24"/>
          <w:szCs w:val="24"/>
        </w:rPr>
        <w:t>无效投标文件不予参加评标。</w:t>
      </w:r>
      <w:bookmarkEnd w:id="92"/>
      <w:bookmarkEnd w:id="93"/>
      <w:bookmarkEnd w:id="94"/>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1.投标文件未按规定标志、密封、盖章的；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2.投标文件未加盖投标人公章的；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3.法定代表人资格证明书或授权委托书未提供的、无投标人公章的、无法定代表人或委托代理人签字或盖章的、非原件的；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4.投标人未领取招标文件的或者在名称上和法人地位上与领取时情况发生实质性的改变的；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5.投标人不符合招标文件中规定资格要求的，或者资格要求证明材料提供不齐全的；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6.投标文件未按招标文件规定的格式、内容和要求编制；</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7.投标人在一份投标文件中，对同一招标项目报有两个或多个报价，且未书面确定以哪个报价为准的；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8.投标人在投标报价中存在严重错误，并影响对其他投标人的评分的；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9.投标文件材料所述情况和所附相关资料不实的；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10.投标人以他人的名义投标、串通投标、以行贿手段谋取中标或者以其他弄虚作假方式投标的；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11.逾期送达的投标文件；</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12.未按招标文件要求缴纳投标保证金的；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13.投标人的投标报价超出采购预算或者最高限价的；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14.投标文件含有采购人不能接受的附加条件的,或者不能满足招标文件要求的售后服务期限、交货时间或者工期、付款条件的；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15.投标人被“信用中国”网站（</w:t>
      </w:r>
      <w:r>
        <w:rPr>
          <w:sz w:val="24"/>
          <w:szCs w:val="24"/>
        </w:rPr>
        <w:t>www.creditchina.gov.cn</w:t>
      </w:r>
      <w:r>
        <w:rPr>
          <w:rFonts w:hint="eastAsia" w:ascii="宋体" w:hAnsi="宋体" w:cs="宋体"/>
          <w:sz w:val="24"/>
          <w:szCs w:val="24"/>
        </w:rPr>
        <w:t>）或“中国政府采购网”网站（</w:t>
      </w:r>
      <w:r>
        <w:rPr>
          <w:sz w:val="24"/>
          <w:szCs w:val="24"/>
        </w:rPr>
        <w:t>www.ccgp.gov.cn</w:t>
      </w:r>
      <w:r>
        <w:rPr>
          <w:rFonts w:hint="eastAsia" w:ascii="宋体" w:hAnsi="宋体" w:cs="宋体"/>
          <w:sz w:val="24"/>
          <w:szCs w:val="24"/>
        </w:rPr>
        <w:t>）列入失信被执行人、重大税收违法案件当事人名单、政府采购严重失信行为记录名单的；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16.</w:t>
      </w:r>
      <w:r>
        <w:rPr>
          <w:rFonts w:ascii="宋体" w:hAnsi="宋体" w:cs="宋体"/>
          <w:sz w:val="24"/>
          <w:szCs w:val="24"/>
        </w:rPr>
        <w:t>近</w:t>
      </w:r>
      <w:r>
        <w:rPr>
          <w:rFonts w:hint="eastAsia" w:ascii="宋体" w:hAnsi="宋体" w:cs="宋体"/>
          <w:sz w:val="24"/>
          <w:szCs w:val="24"/>
        </w:rPr>
        <w:t>2年内因违反招标投标规定收到行政处罚的；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.不符合招标文件规定的其他实质性要求的；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8</w:t>
      </w:r>
      <w:r>
        <w:rPr>
          <w:rFonts w:hint="eastAsia" w:ascii="宋体" w:hAnsi="宋体" w:cs="宋体"/>
          <w:sz w:val="24"/>
          <w:szCs w:val="24"/>
        </w:rPr>
        <w:t>.法律、法规和招标文件规定的其他无效情形，或者其他被评委会认定无效的情况。</w:t>
      </w:r>
    </w:p>
    <w:p>
      <w:pPr>
        <w:snapToGrid w:val="0"/>
        <w:spacing w:line="480" w:lineRule="auto"/>
        <w:rPr>
          <w:rFonts w:ascii="宋体" w:hAnsi="宋体" w:cs="宋体"/>
          <w:b/>
          <w:sz w:val="24"/>
          <w:szCs w:val="24"/>
        </w:rPr>
      </w:pPr>
      <w:bookmarkStart w:id="95" w:name="_Toc288738424"/>
      <w:bookmarkStart w:id="96" w:name="_Toc288738818"/>
      <w:bookmarkStart w:id="97" w:name="_Toc288738350"/>
      <w:r>
        <w:rPr>
          <w:rFonts w:hint="eastAsia" w:ascii="宋体" w:hAnsi="宋体" w:cs="宋体"/>
          <w:b/>
          <w:sz w:val="24"/>
          <w:szCs w:val="24"/>
        </w:rPr>
        <w:t>七、评标、定标</w:t>
      </w:r>
      <w:bookmarkEnd w:id="95"/>
      <w:bookmarkEnd w:id="96"/>
      <w:bookmarkEnd w:id="97"/>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评标由依法组建的评标委员会负责。评标委员会应当按照招标文件中规定的评标办法和标准，对符合性审查合格的投标文件进行商务和技术评估，综合比较与评价。由评委会出具书面评标报告，推荐中标候选供应商顺序并确定中标人，采购人确认。</w:t>
      </w:r>
    </w:p>
    <w:p>
      <w:pPr>
        <w:spacing w:line="480" w:lineRule="auto"/>
        <w:rPr>
          <w:rFonts w:ascii="宋体" w:hAnsi="宋体" w:cs="宋体"/>
          <w:b/>
          <w:sz w:val="24"/>
          <w:szCs w:val="24"/>
        </w:rPr>
      </w:pPr>
      <w:r>
        <w:rPr>
          <w:rFonts w:hint="eastAsia" w:ascii="宋体" w:hAnsi="宋体" w:cs="宋体"/>
          <w:b/>
          <w:sz w:val="24"/>
          <w:szCs w:val="24"/>
        </w:rPr>
        <w:t>八、评审内容的保密</w:t>
      </w:r>
    </w:p>
    <w:p>
      <w:pPr>
        <w:pStyle w:val="8"/>
        <w:overflowPunct w:val="0"/>
        <w:spacing w:line="480" w:lineRule="auto"/>
        <w:ind w:firstLine="480"/>
        <w:rPr>
          <w:rFonts w:ascii="宋体" w:hAnsi="宋体" w:cs="宋体"/>
          <w:kern w:val="2"/>
          <w:szCs w:val="24"/>
        </w:rPr>
      </w:pPr>
      <w:r>
        <w:rPr>
          <w:rFonts w:hint="eastAsia" w:ascii="宋体" w:hAnsi="宋体" w:cs="宋体"/>
          <w:szCs w:val="24"/>
        </w:rPr>
        <w:t>1、</w:t>
      </w:r>
      <w:r>
        <w:rPr>
          <w:rFonts w:hint="eastAsia" w:ascii="宋体" w:hAnsi="宋体" w:cs="宋体"/>
          <w:kern w:val="2"/>
          <w:szCs w:val="24"/>
        </w:rPr>
        <w:t>磋商开始后，直到宣布授予成交供应商合同为止，凡属于审查、澄清、评价和比较磋商响应文件的所有资料，有关授予合同的信息都不应向供应商或与评审无关的其他人泄露。</w:t>
      </w:r>
    </w:p>
    <w:p>
      <w:pPr>
        <w:spacing w:line="48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、在评审过程中，供应商不得以任何行为影响评审过程，否则其磋商响应文件将被作为无效磋商响应文件。</w:t>
      </w:r>
    </w:p>
    <w:p>
      <w:pPr>
        <w:spacing w:line="48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、代理机构和磋商小组不向未成交的供应商解释未成交原因，也不公布评审过程中的相关细节。</w:t>
      </w:r>
    </w:p>
    <w:p>
      <w:pPr>
        <w:snapToGrid w:val="0"/>
        <w:spacing w:line="480" w:lineRule="auto"/>
        <w:rPr>
          <w:rFonts w:ascii="宋体" w:hAnsi="宋体" w:cs="宋体"/>
          <w:b/>
          <w:sz w:val="24"/>
          <w:szCs w:val="24"/>
        </w:rPr>
      </w:pPr>
      <w:bookmarkStart w:id="98" w:name="_Toc288738819"/>
      <w:bookmarkStart w:id="99" w:name="_Toc288738351"/>
      <w:bookmarkStart w:id="100" w:name="_Toc288738425"/>
      <w:r>
        <w:rPr>
          <w:rFonts w:hint="eastAsia" w:ascii="宋体" w:hAnsi="宋体" w:cs="宋体"/>
          <w:b/>
          <w:sz w:val="24"/>
          <w:szCs w:val="24"/>
        </w:rPr>
        <w:t>九、投标文件的澄清</w:t>
      </w:r>
      <w:bookmarkEnd w:id="98"/>
      <w:bookmarkEnd w:id="99"/>
      <w:bookmarkEnd w:id="100"/>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2、投标文件报价出现前后不一致的，除招标文件另有规定外，按照下列规定修正：1）投标文件中开标一览表（报价表）内容与投标文件中相应内容不一致的，以开标一览表（报价表）为准；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投标人确认后产生约束力，</w:t>
      </w:r>
      <w:r>
        <w:rPr>
          <w:rFonts w:hint="eastAsia" w:ascii="宋体" w:hAnsi="宋体" w:cs="宋体"/>
          <w:b/>
          <w:sz w:val="24"/>
          <w:szCs w:val="24"/>
        </w:rPr>
        <w:t>投标人不确认的，其投标无效</w:t>
      </w:r>
      <w:r>
        <w:rPr>
          <w:rFonts w:hint="eastAsia" w:ascii="宋体" w:hAnsi="宋体" w:cs="宋体"/>
          <w:sz w:val="24"/>
          <w:szCs w:val="24"/>
        </w:rPr>
        <w:t>。</w:t>
      </w:r>
      <w:r>
        <w:rPr>
          <w:rFonts w:hint="eastAsia" w:ascii="宋体" w:hAnsi="宋体" w:cs="宋体"/>
          <w:b/>
          <w:sz w:val="24"/>
          <w:szCs w:val="24"/>
        </w:rPr>
        <w:t>存在缺项漏项或者数量不符合招标文件要求的作为无效投标处理；</w:t>
      </w:r>
      <w:r>
        <w:rPr>
          <w:rFonts w:hint="eastAsia" w:ascii="宋体" w:hAnsi="宋体" w:cs="宋体"/>
          <w:sz w:val="24"/>
          <w:szCs w:val="24"/>
        </w:rPr>
        <w:t>对不同文字文本投标文件的解释发生异议的，以中文文本为准。</w:t>
      </w:r>
    </w:p>
    <w:p>
      <w:pPr>
        <w:snapToGrid w:val="0"/>
        <w:spacing w:line="480" w:lineRule="auto"/>
        <w:ind w:firstLine="482" w:firstLineChars="200"/>
        <w:rPr>
          <w:rFonts w:ascii="宋体" w:hAnsi="宋体" w:cs="宋体"/>
          <w:b/>
          <w:sz w:val="24"/>
          <w:szCs w:val="24"/>
        </w:rPr>
      </w:pPr>
      <w:r>
        <w:rPr>
          <w:rFonts w:hint="eastAsia" w:ascii="宋体" w:hAnsi="宋体" w:cs="宋体"/>
          <w:b/>
          <w:sz w:val="24"/>
          <w:szCs w:val="24"/>
        </w:rPr>
        <w:t>3、投标人拒不按照评委会要求作出澄清、说明或者补正的，作为无效投标处理。</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4、投标截止时间后，投标人对投标报价或其他实质性内容修正的函件和增加的任何优惠条件，一律不得作为评标、定标的依据。</w:t>
      </w:r>
    </w:p>
    <w:p>
      <w:pPr>
        <w:pStyle w:val="8"/>
        <w:overflowPunct w:val="0"/>
        <w:spacing w:line="480" w:lineRule="auto"/>
        <w:ind w:firstLine="0" w:firstLineChars="0"/>
        <w:rPr>
          <w:rFonts w:ascii="宋体" w:hAnsi="宋体" w:cs="宋体"/>
          <w:b/>
          <w:szCs w:val="24"/>
        </w:rPr>
      </w:pPr>
      <w:bookmarkStart w:id="101" w:name="_Toc288738426"/>
      <w:bookmarkStart w:id="102" w:name="_Toc288738352"/>
      <w:bookmarkStart w:id="103" w:name="_Toc288738820"/>
      <w:r>
        <w:rPr>
          <w:rFonts w:hint="eastAsia" w:ascii="宋体" w:hAnsi="宋体" w:cs="宋体"/>
          <w:b/>
          <w:szCs w:val="24"/>
        </w:rPr>
        <w:t>十、</w:t>
      </w:r>
      <w:bookmarkEnd w:id="101"/>
      <w:bookmarkEnd w:id="102"/>
      <w:bookmarkEnd w:id="103"/>
      <w:r>
        <w:rPr>
          <w:rFonts w:hint="eastAsia" w:hAnsi="宋体" w:cs="宋体"/>
          <w:b/>
          <w:szCs w:val="24"/>
        </w:rPr>
        <w:t>投标文件出现下列情况之一的，将作为无效投标文件处理，无效投标文件不予参加评标</w:t>
      </w:r>
      <w:r>
        <w:rPr>
          <w:rFonts w:hint="eastAsia" w:hAnsi="宋体" w:cs="宋体"/>
          <w:szCs w:val="24"/>
        </w:rPr>
        <w:t xml:space="preserve">： </w:t>
      </w:r>
    </w:p>
    <w:p>
      <w:pPr>
        <w:spacing w:line="480" w:lineRule="auto"/>
        <w:ind w:firstLine="499" w:firstLineChars="208"/>
        <w:rPr>
          <w:rFonts w:ascii="宋体" w:hAnsi="宋体" w:cs="宋体"/>
          <w:sz w:val="24"/>
          <w:szCs w:val="24"/>
        </w:rPr>
      </w:pPr>
      <w:bookmarkStart w:id="104" w:name="_Toc288738821"/>
      <w:bookmarkStart w:id="105" w:name="_Toc288738353"/>
      <w:bookmarkStart w:id="106" w:name="_Toc288738427"/>
      <w:r>
        <w:rPr>
          <w:rFonts w:hint="eastAsia" w:ascii="宋体" w:hAnsi="宋体" w:cs="宋体"/>
          <w:sz w:val="24"/>
          <w:szCs w:val="24"/>
        </w:rPr>
        <w:t>1.投标文件未按规定标志、密封、盖章的；</w:t>
      </w:r>
    </w:p>
    <w:p>
      <w:pPr>
        <w:spacing w:line="480" w:lineRule="auto"/>
        <w:ind w:firstLine="499" w:firstLineChars="208"/>
        <w:rPr>
          <w:rFonts w:ascii="宋体" w:hAnsi="宋体" w:cs="宋体"/>
          <w:sz w:val="24"/>
          <w:szCs w:val="24"/>
        </w:rPr>
      </w:pPr>
      <w:r>
        <w:rPr>
          <w:rFonts w:hint="eastAsia" w:ascii="宋体" w:hAnsi="宋体" w:cs="宋体"/>
          <w:sz w:val="24"/>
          <w:szCs w:val="24"/>
        </w:rPr>
        <w:t>2.投标文件未加盖投标单位公章的；</w:t>
      </w:r>
    </w:p>
    <w:p>
      <w:pPr>
        <w:spacing w:line="480" w:lineRule="auto"/>
        <w:ind w:firstLine="499" w:firstLineChars="208"/>
        <w:rPr>
          <w:rFonts w:ascii="宋体" w:hAnsi="宋体" w:cs="宋体"/>
          <w:sz w:val="24"/>
          <w:szCs w:val="24"/>
        </w:rPr>
      </w:pPr>
      <w:r>
        <w:rPr>
          <w:rFonts w:hint="eastAsia" w:ascii="宋体" w:hAnsi="宋体" w:cs="宋体"/>
          <w:sz w:val="24"/>
          <w:szCs w:val="24"/>
        </w:rPr>
        <w:t>3.法定代表人资格证明书或授权委托书未提供的、无投标单位公章的、无法定代表人或委托代理人签字或盖章的、非原件的；</w:t>
      </w:r>
    </w:p>
    <w:p>
      <w:pPr>
        <w:spacing w:line="480" w:lineRule="auto"/>
        <w:ind w:firstLine="499" w:firstLineChars="208"/>
        <w:rPr>
          <w:rFonts w:ascii="宋体" w:hAnsi="宋体" w:cs="宋体"/>
          <w:sz w:val="24"/>
          <w:szCs w:val="24"/>
        </w:rPr>
      </w:pPr>
      <w:r>
        <w:rPr>
          <w:rFonts w:hint="eastAsia" w:ascii="宋体" w:hAnsi="宋体" w:cs="宋体"/>
          <w:sz w:val="24"/>
          <w:szCs w:val="24"/>
        </w:rPr>
        <w:t>4.投标单位未通过报名的或者在名称上和法人地位上与报名情况发生实质性改变的；</w:t>
      </w:r>
    </w:p>
    <w:p>
      <w:pPr>
        <w:spacing w:line="480" w:lineRule="auto"/>
        <w:ind w:firstLine="499" w:firstLineChars="208"/>
        <w:rPr>
          <w:rFonts w:ascii="宋体" w:hAnsi="宋体" w:cs="宋体"/>
          <w:sz w:val="24"/>
          <w:szCs w:val="24"/>
        </w:rPr>
      </w:pPr>
      <w:r>
        <w:rPr>
          <w:rFonts w:hint="eastAsia" w:ascii="宋体" w:hAnsi="宋体" w:cs="宋体"/>
          <w:sz w:val="24"/>
          <w:szCs w:val="24"/>
        </w:rPr>
        <w:t>5.投标单位不符合招标文件中规定资格要求的，或者资格要求证明材料提供不齐全的；</w:t>
      </w:r>
    </w:p>
    <w:p>
      <w:pPr>
        <w:spacing w:line="480" w:lineRule="auto"/>
        <w:ind w:firstLine="499" w:firstLineChars="208"/>
        <w:rPr>
          <w:rFonts w:ascii="宋体" w:hAnsi="宋体" w:cs="宋体"/>
          <w:sz w:val="24"/>
          <w:szCs w:val="24"/>
        </w:rPr>
      </w:pPr>
      <w:r>
        <w:rPr>
          <w:rFonts w:hint="eastAsia" w:ascii="宋体" w:hAnsi="宋体" w:cs="宋体"/>
          <w:sz w:val="24"/>
          <w:szCs w:val="24"/>
        </w:rPr>
        <w:t>6.投标文件未按招标文件规定的格式、内容和要求编制，投标文件字迹潦草、模糊、难以辨认；</w:t>
      </w:r>
    </w:p>
    <w:p>
      <w:pPr>
        <w:spacing w:line="480" w:lineRule="auto"/>
        <w:ind w:firstLine="499" w:firstLineChars="208"/>
        <w:rPr>
          <w:rFonts w:ascii="宋体" w:hAnsi="宋体" w:cs="宋体"/>
          <w:sz w:val="24"/>
          <w:szCs w:val="24"/>
        </w:rPr>
      </w:pPr>
      <w:r>
        <w:rPr>
          <w:rFonts w:hint="eastAsia" w:ascii="宋体" w:hAnsi="宋体" w:cs="宋体"/>
          <w:sz w:val="24"/>
          <w:szCs w:val="24"/>
        </w:rPr>
        <w:t>7.投标单位在一份投标文件中，对同一招标项目报有两个或多个报价，且未书面确定以哪个报价为准的；</w:t>
      </w:r>
    </w:p>
    <w:p>
      <w:pPr>
        <w:spacing w:line="480" w:lineRule="auto"/>
        <w:ind w:firstLine="499" w:firstLineChars="208"/>
        <w:rPr>
          <w:rFonts w:ascii="宋体" w:hAnsi="宋体" w:cs="宋体"/>
          <w:sz w:val="24"/>
          <w:szCs w:val="24"/>
        </w:rPr>
      </w:pPr>
      <w:r>
        <w:rPr>
          <w:rFonts w:hint="eastAsia" w:ascii="宋体" w:hAnsi="宋体" w:cs="宋体"/>
          <w:sz w:val="24"/>
          <w:szCs w:val="24"/>
        </w:rPr>
        <w:t>8.投标单位在投标报价中存在严重错误，并影响对其他投标单位的评分的；</w:t>
      </w:r>
    </w:p>
    <w:p>
      <w:pPr>
        <w:spacing w:line="480" w:lineRule="auto"/>
        <w:ind w:firstLine="499" w:firstLineChars="208"/>
        <w:rPr>
          <w:rFonts w:ascii="宋体" w:hAnsi="宋体" w:cs="宋体"/>
          <w:sz w:val="24"/>
          <w:szCs w:val="24"/>
        </w:rPr>
      </w:pPr>
      <w:r>
        <w:rPr>
          <w:rFonts w:hint="eastAsia" w:ascii="宋体" w:hAnsi="宋体" w:cs="宋体"/>
          <w:sz w:val="24"/>
          <w:szCs w:val="24"/>
        </w:rPr>
        <w:t>9.投标文件材料所述情况和所附相关资料不实的；</w:t>
      </w:r>
    </w:p>
    <w:p>
      <w:pPr>
        <w:spacing w:line="480" w:lineRule="auto"/>
        <w:ind w:firstLine="499" w:firstLineChars="208"/>
        <w:rPr>
          <w:rFonts w:ascii="宋体" w:hAnsi="宋体" w:cs="宋体"/>
          <w:sz w:val="24"/>
          <w:szCs w:val="24"/>
        </w:rPr>
      </w:pPr>
      <w:r>
        <w:rPr>
          <w:rFonts w:hint="eastAsia" w:ascii="宋体" w:hAnsi="宋体" w:cs="宋体"/>
          <w:sz w:val="24"/>
          <w:szCs w:val="24"/>
        </w:rPr>
        <w:t>10.投标单位以他人的名义投标、串通投标、以行贿手段谋取中标或者以其他弄虚作假方式投标的。</w:t>
      </w:r>
    </w:p>
    <w:p>
      <w:pPr>
        <w:spacing w:line="480" w:lineRule="auto"/>
        <w:ind w:firstLine="499" w:firstLineChars="208"/>
        <w:rPr>
          <w:rFonts w:ascii="宋体" w:hAnsi="宋体" w:cs="宋体"/>
          <w:sz w:val="24"/>
          <w:szCs w:val="24"/>
        </w:rPr>
      </w:pPr>
      <w:r>
        <w:rPr>
          <w:rFonts w:hint="eastAsia" w:ascii="宋体" w:hAnsi="宋体" w:cs="宋体"/>
          <w:sz w:val="24"/>
          <w:szCs w:val="24"/>
        </w:rPr>
        <w:t>11.逾期送达的投标文件；</w:t>
      </w:r>
    </w:p>
    <w:p>
      <w:pPr>
        <w:spacing w:line="480" w:lineRule="auto"/>
        <w:ind w:firstLine="499" w:firstLineChars="208"/>
        <w:rPr>
          <w:rFonts w:ascii="宋体" w:hAnsi="宋体" w:cs="宋体"/>
          <w:sz w:val="24"/>
          <w:szCs w:val="24"/>
        </w:rPr>
      </w:pPr>
      <w:r>
        <w:rPr>
          <w:rFonts w:hint="eastAsia" w:ascii="宋体" w:hAnsi="宋体" w:cs="宋体"/>
          <w:sz w:val="24"/>
          <w:szCs w:val="24"/>
        </w:rPr>
        <w:t>12.未按招标文件要求缴纳投标保证金的；</w:t>
      </w:r>
    </w:p>
    <w:p>
      <w:pPr>
        <w:spacing w:line="480" w:lineRule="auto"/>
        <w:ind w:firstLine="499" w:firstLineChars="208"/>
        <w:rPr>
          <w:rFonts w:ascii="宋体" w:hAnsi="宋体" w:cs="宋体"/>
          <w:sz w:val="24"/>
          <w:szCs w:val="24"/>
        </w:rPr>
      </w:pPr>
      <w:r>
        <w:rPr>
          <w:rFonts w:hint="eastAsia" w:ascii="宋体" w:hAnsi="宋体" w:cs="宋体"/>
          <w:sz w:val="24"/>
          <w:szCs w:val="24"/>
        </w:rPr>
        <w:t>13.投标单位的投标报价超出采购预算或者最高限价的；</w:t>
      </w:r>
    </w:p>
    <w:p>
      <w:pPr>
        <w:spacing w:line="480" w:lineRule="auto"/>
        <w:ind w:firstLine="501" w:firstLineChars="208"/>
        <w:rPr>
          <w:rFonts w:ascii="宋体" w:hAnsi="宋体" w:cs="宋体"/>
          <w:b/>
          <w:sz w:val="24"/>
          <w:szCs w:val="24"/>
        </w:rPr>
      </w:pPr>
      <w:r>
        <w:rPr>
          <w:rFonts w:hint="eastAsia" w:ascii="宋体" w:hAnsi="宋体" w:cs="宋体"/>
          <w:b/>
          <w:sz w:val="24"/>
          <w:szCs w:val="24"/>
        </w:rPr>
        <w:t>14.评标委员会认为投标单位的报价明显低于其他通过符合性审查投标单位的报价，有可能影响产品质量或者不能诚信履约的，应当要求其在评标现场合理的时间内提供书面说明，必要时提交相关证明材料；投标单位不能证明其报价合理性的，评标委员会应当将其作为无效投标处理。</w:t>
      </w:r>
    </w:p>
    <w:p>
      <w:pPr>
        <w:spacing w:line="480" w:lineRule="auto"/>
        <w:ind w:firstLine="499" w:firstLineChars="208"/>
        <w:rPr>
          <w:rFonts w:ascii="宋体" w:hAnsi="宋体" w:cs="宋体"/>
          <w:sz w:val="24"/>
          <w:szCs w:val="24"/>
        </w:rPr>
      </w:pPr>
      <w:r>
        <w:rPr>
          <w:rFonts w:hint="eastAsia" w:ascii="宋体" w:hAnsi="宋体" w:cs="宋体"/>
          <w:sz w:val="24"/>
          <w:szCs w:val="24"/>
        </w:rPr>
        <w:t>15.招标文件明确规定无效的其他情形，或者其他被评委会认定无效的情况；</w:t>
      </w:r>
    </w:p>
    <w:p>
      <w:pPr>
        <w:spacing w:line="480" w:lineRule="auto"/>
        <w:ind w:firstLine="499" w:firstLineChars="208"/>
        <w:rPr>
          <w:rFonts w:ascii="宋体" w:hAnsi="宋体" w:cs="宋体"/>
          <w:sz w:val="24"/>
          <w:szCs w:val="24"/>
        </w:rPr>
      </w:pPr>
      <w:r>
        <w:rPr>
          <w:rFonts w:hint="eastAsia" w:ascii="宋体" w:hAnsi="宋体" w:cs="宋体"/>
          <w:sz w:val="24"/>
          <w:szCs w:val="24"/>
        </w:rPr>
        <w:t>16.投标文件含有招标单位不能接受的附加条件的；</w:t>
      </w:r>
    </w:p>
    <w:p>
      <w:pPr>
        <w:spacing w:line="480" w:lineRule="auto"/>
        <w:ind w:firstLine="499" w:firstLineChars="208"/>
        <w:rPr>
          <w:rFonts w:ascii="宋体" w:hAnsi="宋体" w:cs="宋体"/>
          <w:sz w:val="24"/>
          <w:szCs w:val="24"/>
        </w:rPr>
      </w:pPr>
      <w:r>
        <w:rPr>
          <w:rFonts w:hint="eastAsia" w:ascii="宋体" w:hAnsi="宋体" w:cs="宋体"/>
          <w:sz w:val="24"/>
          <w:szCs w:val="24"/>
        </w:rPr>
        <w:t>17.不符合法律、法规和招标文件规定的其他实质性要求的。</w:t>
      </w:r>
    </w:p>
    <w:p>
      <w:pPr>
        <w:spacing w:line="480" w:lineRule="auto"/>
        <w:rPr>
          <w:rFonts w:ascii="宋体" w:hAnsi="宋体" w:cs="宋体"/>
          <w:b/>
          <w:sz w:val="24"/>
          <w:szCs w:val="24"/>
        </w:rPr>
      </w:pPr>
      <w:r>
        <w:rPr>
          <w:rFonts w:hint="eastAsia" w:ascii="宋体" w:hAnsi="宋体" w:cs="宋体"/>
          <w:b/>
          <w:sz w:val="24"/>
          <w:szCs w:val="24"/>
        </w:rPr>
        <w:t>十一、有下列情形之一的，视为投标单位串通投标，投标无效：</w:t>
      </w:r>
    </w:p>
    <w:p>
      <w:pPr>
        <w:spacing w:line="480" w:lineRule="auto"/>
        <w:ind w:firstLine="499" w:firstLineChars="208"/>
        <w:rPr>
          <w:rFonts w:ascii="宋体" w:hAnsi="宋体" w:cs="宋体"/>
          <w:sz w:val="24"/>
          <w:szCs w:val="24"/>
        </w:rPr>
      </w:pPr>
      <w:r>
        <w:rPr>
          <w:rFonts w:hint="eastAsia" w:ascii="宋体" w:hAnsi="宋体" w:cs="宋体"/>
          <w:sz w:val="24"/>
          <w:szCs w:val="24"/>
        </w:rPr>
        <w:t>1.不同投标单位的投标文件由同一单位或者个人编制；</w:t>
      </w:r>
    </w:p>
    <w:p>
      <w:pPr>
        <w:spacing w:line="480" w:lineRule="auto"/>
        <w:ind w:firstLine="499" w:firstLineChars="208"/>
        <w:rPr>
          <w:rFonts w:ascii="宋体" w:hAnsi="宋体" w:cs="宋体"/>
          <w:sz w:val="24"/>
          <w:szCs w:val="24"/>
        </w:rPr>
      </w:pPr>
      <w:r>
        <w:rPr>
          <w:rFonts w:hint="eastAsia" w:ascii="宋体" w:hAnsi="宋体" w:cs="宋体"/>
          <w:sz w:val="24"/>
          <w:szCs w:val="24"/>
        </w:rPr>
        <w:t>2.不同投标单位委托同一单位或者个人办理投标事宜；</w:t>
      </w:r>
    </w:p>
    <w:p>
      <w:pPr>
        <w:spacing w:line="480" w:lineRule="auto"/>
        <w:ind w:firstLine="499" w:firstLineChars="208"/>
        <w:rPr>
          <w:rFonts w:ascii="宋体" w:hAnsi="宋体" w:cs="宋体"/>
          <w:sz w:val="24"/>
          <w:szCs w:val="24"/>
        </w:rPr>
      </w:pPr>
      <w:r>
        <w:rPr>
          <w:rFonts w:hint="eastAsia" w:ascii="宋体" w:hAnsi="宋体" w:cs="宋体"/>
          <w:sz w:val="24"/>
          <w:szCs w:val="24"/>
        </w:rPr>
        <w:t>3.不同投标单位的投标文件载明的项目管理成员或者联系人员为同一人；</w:t>
      </w:r>
    </w:p>
    <w:p>
      <w:pPr>
        <w:spacing w:line="480" w:lineRule="auto"/>
        <w:ind w:firstLine="499" w:firstLineChars="208"/>
        <w:rPr>
          <w:rFonts w:ascii="宋体" w:hAnsi="宋体" w:cs="宋体"/>
          <w:sz w:val="24"/>
          <w:szCs w:val="24"/>
        </w:rPr>
      </w:pPr>
      <w:r>
        <w:rPr>
          <w:rFonts w:hint="eastAsia" w:ascii="宋体" w:hAnsi="宋体" w:cs="宋体"/>
          <w:sz w:val="24"/>
          <w:szCs w:val="24"/>
        </w:rPr>
        <w:t>4.不同投标单位的投标文件异常一致或者投标报价呈规律性差异；</w:t>
      </w:r>
    </w:p>
    <w:p>
      <w:pPr>
        <w:spacing w:line="480" w:lineRule="auto"/>
        <w:ind w:firstLine="499" w:firstLineChars="208"/>
        <w:rPr>
          <w:rFonts w:ascii="宋体" w:hAnsi="宋体" w:cs="宋体"/>
          <w:sz w:val="24"/>
          <w:szCs w:val="24"/>
        </w:rPr>
      </w:pPr>
      <w:r>
        <w:rPr>
          <w:rFonts w:hint="eastAsia" w:ascii="宋体" w:hAnsi="宋体" w:cs="宋体"/>
          <w:sz w:val="24"/>
          <w:szCs w:val="24"/>
        </w:rPr>
        <w:t>5.不同投标单位的投标文件相互混装；</w:t>
      </w:r>
    </w:p>
    <w:p>
      <w:pPr>
        <w:spacing w:line="480" w:lineRule="auto"/>
        <w:ind w:firstLine="499" w:firstLineChars="208"/>
        <w:rPr>
          <w:rFonts w:ascii="宋体" w:hAnsi="宋体" w:cs="宋体"/>
          <w:sz w:val="24"/>
          <w:szCs w:val="24"/>
        </w:rPr>
      </w:pPr>
      <w:r>
        <w:rPr>
          <w:rFonts w:hint="eastAsia" w:ascii="宋体" w:hAnsi="宋体" w:cs="宋体"/>
          <w:sz w:val="24"/>
          <w:szCs w:val="24"/>
        </w:rPr>
        <w:t>6.不同投标单位的投标保证金从同一单位或者个人的账户转出。</w:t>
      </w:r>
    </w:p>
    <w:p>
      <w:pPr>
        <w:spacing w:line="480" w:lineRule="auto"/>
        <w:rPr>
          <w:rFonts w:ascii="宋体" w:hAnsi="宋体" w:cs="宋体"/>
          <w:b/>
          <w:kern w:val="0"/>
          <w:sz w:val="24"/>
          <w:szCs w:val="24"/>
        </w:rPr>
      </w:pPr>
      <w:r>
        <w:rPr>
          <w:rFonts w:hint="eastAsia" w:ascii="宋体" w:hAnsi="宋体" w:cs="宋体"/>
          <w:b/>
          <w:sz w:val="24"/>
          <w:szCs w:val="24"/>
        </w:rPr>
        <w:t>十二、废标、流标条款</w:t>
      </w:r>
    </w:p>
    <w:p>
      <w:pPr>
        <w:spacing w:line="480" w:lineRule="auto"/>
        <w:ind w:firstLine="480" w:firstLineChars="200"/>
        <w:rPr>
          <w:rFonts w:ascii="宋体" w:hAnsi="宋体" w:cs="宋体"/>
          <w:sz w:val="24"/>
          <w:szCs w:val="24"/>
        </w:rPr>
      </w:pPr>
      <w:r>
        <w:rPr>
          <w:rFonts w:hint="eastAsia" w:ascii="宋体" w:hAnsi="宋体" w:cs="宋体"/>
          <w:sz w:val="24"/>
          <w:szCs w:val="24"/>
        </w:rPr>
        <w:t>1.符合专业条件的投标单位或者对招标文件作实质性响应的投标单位不足三家的；</w:t>
      </w:r>
    </w:p>
    <w:p>
      <w:pPr>
        <w:spacing w:line="480" w:lineRule="auto"/>
        <w:ind w:firstLine="480" w:firstLineChars="200"/>
        <w:rPr>
          <w:rFonts w:ascii="宋体" w:hAnsi="宋体" w:cs="宋体"/>
          <w:sz w:val="24"/>
          <w:szCs w:val="24"/>
        </w:rPr>
      </w:pPr>
      <w:r>
        <w:rPr>
          <w:rFonts w:hint="eastAsia" w:ascii="宋体" w:hAnsi="宋体" w:cs="宋体"/>
          <w:sz w:val="24"/>
          <w:szCs w:val="24"/>
        </w:rPr>
        <w:t>2. 出现影响采购公正的违法、违规行为的；</w:t>
      </w:r>
    </w:p>
    <w:p>
      <w:pPr>
        <w:spacing w:line="480" w:lineRule="auto"/>
        <w:ind w:firstLine="480" w:firstLineChars="200"/>
        <w:rPr>
          <w:rFonts w:ascii="宋体" w:hAnsi="宋体" w:cs="宋体"/>
          <w:sz w:val="24"/>
          <w:szCs w:val="24"/>
        </w:rPr>
      </w:pPr>
      <w:r>
        <w:rPr>
          <w:rFonts w:hint="eastAsia" w:ascii="宋体" w:hAnsi="宋体" w:cs="宋体"/>
          <w:sz w:val="24"/>
          <w:szCs w:val="24"/>
        </w:rPr>
        <w:t>3.评标委员会认定招标文件存在歧义、重大缺陷导致评审工作无法进行；</w:t>
      </w:r>
    </w:p>
    <w:p>
      <w:pPr>
        <w:spacing w:line="480" w:lineRule="auto"/>
        <w:ind w:firstLine="480" w:firstLineChars="200"/>
        <w:rPr>
          <w:rFonts w:ascii="宋体" w:hAnsi="宋体" w:cs="宋体"/>
          <w:sz w:val="24"/>
          <w:szCs w:val="24"/>
        </w:rPr>
      </w:pPr>
      <w:r>
        <w:rPr>
          <w:rFonts w:hint="eastAsia" w:ascii="宋体" w:hAnsi="宋体" w:cs="宋体"/>
          <w:sz w:val="24"/>
          <w:szCs w:val="24"/>
        </w:rPr>
        <w:t>4. 因重大变故，采购任务取消的。</w:t>
      </w:r>
    </w:p>
    <w:p>
      <w:pPr>
        <w:snapToGrid w:val="0"/>
        <w:spacing w:line="480" w:lineRule="auto"/>
        <w:rPr>
          <w:rFonts w:ascii="宋体" w:hAnsi="宋体" w:cs="宋体"/>
          <w:b/>
          <w:sz w:val="24"/>
          <w:szCs w:val="24"/>
        </w:rPr>
      </w:pPr>
      <w:r>
        <w:rPr>
          <w:rFonts w:hint="eastAsia" w:ascii="宋体" w:hAnsi="宋体" w:cs="宋体"/>
          <w:b/>
          <w:sz w:val="24"/>
          <w:szCs w:val="24"/>
        </w:rPr>
        <w:t>十三、中标通知</w:t>
      </w:r>
      <w:bookmarkEnd w:id="104"/>
      <w:bookmarkEnd w:id="105"/>
      <w:bookmarkEnd w:id="106"/>
    </w:p>
    <w:p>
      <w:pPr>
        <w:pStyle w:val="8"/>
        <w:overflowPunct w:val="0"/>
        <w:spacing w:line="480" w:lineRule="auto"/>
        <w:ind w:firstLine="480"/>
        <w:rPr>
          <w:rFonts w:ascii="宋体" w:hAnsi="宋体" w:cs="宋体"/>
          <w:szCs w:val="24"/>
        </w:rPr>
      </w:pPr>
      <w:r>
        <w:rPr>
          <w:rFonts w:hint="eastAsia" w:ascii="宋体" w:hAnsi="宋体" w:cs="宋体"/>
          <w:szCs w:val="24"/>
        </w:rPr>
        <w:t>1.代理机构将中标结果在</w:t>
      </w:r>
      <w:r>
        <w:rPr>
          <w:rFonts w:hint="eastAsia" w:ascii="宋体" w:hAnsi="宋体" w:cs="宋体"/>
          <w:b/>
          <w:bCs/>
          <w:szCs w:val="24"/>
        </w:rPr>
        <w:t>江苏畅誉项目管理有限公司网站（http://www.jschangyu.com/）</w:t>
      </w:r>
      <w:r>
        <w:rPr>
          <w:rFonts w:hint="eastAsia" w:ascii="宋体" w:hAnsi="宋体" w:cs="宋体"/>
          <w:szCs w:val="24"/>
        </w:rPr>
        <w:t>上予以公告。</w:t>
      </w:r>
      <w:r>
        <w:rPr>
          <w:rFonts w:hint="eastAsia" w:ascii="宋体" w:hAnsi="宋体" w:cs="宋体"/>
          <w:color w:val="auto"/>
          <w:szCs w:val="24"/>
        </w:rPr>
        <w:t>公告期限为</w:t>
      </w:r>
      <w:r>
        <w:rPr>
          <w:rFonts w:ascii="宋体" w:hAnsi="宋体" w:cs="宋体"/>
          <w:color w:val="auto"/>
          <w:szCs w:val="24"/>
        </w:rPr>
        <w:t>1</w:t>
      </w:r>
      <w:r>
        <w:rPr>
          <w:rFonts w:hint="eastAsia" w:ascii="宋体" w:hAnsi="宋体" w:cs="宋体"/>
          <w:color w:val="auto"/>
          <w:szCs w:val="24"/>
        </w:rPr>
        <w:t>个工作日</w:t>
      </w:r>
      <w:r>
        <w:rPr>
          <w:rFonts w:hint="eastAsia" w:ascii="宋体" w:hAnsi="宋体" w:cs="宋体"/>
          <w:szCs w:val="24"/>
        </w:rPr>
        <w:t>。各参加供应商如对公示结果有异议，应在有效质疑期内（中标公告发布起七个工作日），以书面形式向代理机构提出，同时出具相关证明材料，该质疑必须由供应商法定代表人或参加投标的授权委托代理人签署以及供应商盖章方为有效。</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2.若有充分证据证明，中标单位出现下列情况之一的，一经查实，将被取消中标资格：</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2.1提供虚假材料谋取中标的；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2.2向招标单位、代理机构行贿或者提供其他不正当利益的。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2.3恶意竞争，投标总报价明显低于其自身合理成本且又无法提供证明的。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2.4属于本文件规定的无效条件，但在评标过程中又未被评委会发现的。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2.5与招标单位或者其他投标单位恶意串通的。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2.6采取不正当手段诋毁、排挤其他投标单位的。</w:t>
      </w:r>
    </w:p>
    <w:p>
      <w:pPr>
        <w:pStyle w:val="8"/>
        <w:overflowPunct w:val="0"/>
        <w:spacing w:line="480" w:lineRule="auto"/>
        <w:ind w:firstLine="480"/>
        <w:rPr>
          <w:rFonts w:ascii="宋体" w:hAnsi="宋体" w:cs="宋体"/>
          <w:szCs w:val="24"/>
        </w:rPr>
      </w:pPr>
      <w:r>
        <w:rPr>
          <w:rFonts w:hint="eastAsia" w:ascii="宋体" w:hAnsi="宋体" w:cs="宋体"/>
          <w:szCs w:val="24"/>
        </w:rPr>
        <w:t>2.7不符合法律、法规的规定的。</w:t>
      </w:r>
    </w:p>
    <w:p>
      <w:pPr>
        <w:pStyle w:val="8"/>
        <w:overflowPunct w:val="0"/>
        <w:spacing w:line="480" w:lineRule="auto"/>
        <w:ind w:firstLine="480"/>
        <w:rPr>
          <w:rFonts w:ascii="宋体" w:hAnsi="宋体" w:cs="宋体"/>
          <w:szCs w:val="24"/>
        </w:rPr>
      </w:pPr>
      <w:r>
        <w:rPr>
          <w:rFonts w:hint="eastAsia" w:ascii="宋体" w:hAnsi="宋体" w:cs="宋体"/>
          <w:szCs w:val="24"/>
        </w:rPr>
        <w:t>3 .投标单位认为采购文件、采购过程和采购结果使自己的权益受到损害的，可以在知道或应知其权益受到损害之日起七个工作日内，以书面形式向代理机构或招标单位提出质疑。该质疑应当有明确的请求和必要的证明材料，同时该质疑应有投标单位法定代表人或参加投标的授权委托人签署并加盖公章(原件)。代理机构将在收到经投标单位法定代表人或参加投标的授权委托人签署和盖公章(原件)的书面质疑后七个工作日内，对质疑内容做出答复。如投标单位在中标公告期限届满之日起七个工作日后向代理机构提出质疑或质疑未经投标单位法定代表人或参加投标的授权委托人签署或加盖公章(原件)或未提供明确的请求和必要的证明材料的，代理机构有权对该质疑不予答复（法律法规另有其他规定的除外）。投标单位提出书面质疑必须有理、有据，不得恶意质疑或提交虚假质疑。否则，一经查实，代理机构有权依据有关规定，报请采购监管部门对该投标单位进行相应的处罚。</w:t>
      </w:r>
    </w:p>
    <w:p>
      <w:pPr>
        <w:pStyle w:val="8"/>
        <w:overflowPunct w:val="0"/>
        <w:spacing w:line="480" w:lineRule="auto"/>
        <w:ind w:firstLine="480"/>
        <w:rPr>
          <w:rFonts w:ascii="宋体" w:hAnsi="宋体" w:cs="宋体"/>
          <w:szCs w:val="24"/>
        </w:rPr>
      </w:pPr>
      <w:r>
        <w:rPr>
          <w:rFonts w:hint="eastAsia" w:ascii="宋体" w:hAnsi="宋体" w:cs="宋体"/>
          <w:szCs w:val="24"/>
        </w:rPr>
        <w:t>未参加投标活动的投标单位或在投标活动中自身权益未受到损害的投标单位所提出的质疑不予受理。</w:t>
      </w:r>
    </w:p>
    <w:p>
      <w:pPr>
        <w:pStyle w:val="8"/>
        <w:overflowPunct w:val="0"/>
        <w:spacing w:line="480" w:lineRule="auto"/>
        <w:ind w:firstLine="480"/>
        <w:rPr>
          <w:rFonts w:ascii="宋体" w:hAnsi="宋体" w:cs="宋体"/>
          <w:szCs w:val="24"/>
        </w:rPr>
      </w:pPr>
      <w:r>
        <w:rPr>
          <w:rFonts w:hint="eastAsia" w:ascii="宋体" w:hAnsi="宋体" w:cs="宋体"/>
          <w:szCs w:val="24"/>
        </w:rPr>
        <w:t>中标公示期间，如有参加投标的投标单位提出有效质疑，并因此可能对中标结果产生影响，而最终被取消中标的，代理机构对中标单位不承担任何责任。</w:t>
      </w:r>
    </w:p>
    <w:p>
      <w:pPr>
        <w:pStyle w:val="8"/>
        <w:overflowPunct w:val="0"/>
        <w:spacing w:line="480" w:lineRule="auto"/>
        <w:ind w:firstLine="482"/>
        <w:rPr>
          <w:rFonts w:ascii="宋体" w:hAnsi="宋体" w:cs="宋体"/>
          <w:b/>
          <w:szCs w:val="24"/>
        </w:rPr>
      </w:pPr>
      <w:r>
        <w:rPr>
          <w:rFonts w:hint="eastAsia" w:ascii="宋体" w:hAnsi="宋体" w:cs="宋体"/>
          <w:b/>
          <w:szCs w:val="24"/>
        </w:rPr>
        <w:t>4.中标通知书</w:t>
      </w:r>
    </w:p>
    <w:p>
      <w:pPr>
        <w:pStyle w:val="8"/>
        <w:overflowPunct w:val="0"/>
        <w:spacing w:line="480" w:lineRule="auto"/>
        <w:ind w:firstLine="480"/>
        <w:rPr>
          <w:rFonts w:ascii="宋体" w:hAnsi="宋体" w:cs="宋体"/>
          <w:b/>
          <w:szCs w:val="24"/>
        </w:rPr>
      </w:pPr>
      <w:r>
        <w:rPr>
          <w:rFonts w:hint="eastAsia" w:ascii="宋体" w:hAnsi="宋体" w:cs="宋体"/>
          <w:szCs w:val="24"/>
        </w:rPr>
        <w:t>4.1 中标结果确定后，代理机构将向中标单位发出中标通知书。</w:t>
      </w:r>
    </w:p>
    <w:p>
      <w:pPr>
        <w:pStyle w:val="8"/>
        <w:overflowPunct w:val="0"/>
        <w:spacing w:line="480" w:lineRule="auto"/>
        <w:ind w:firstLine="480"/>
        <w:rPr>
          <w:rFonts w:ascii="宋体" w:hAnsi="宋体" w:cs="宋体"/>
          <w:b/>
          <w:szCs w:val="24"/>
        </w:rPr>
      </w:pPr>
      <w:r>
        <w:rPr>
          <w:rFonts w:hint="eastAsia" w:ascii="宋体" w:hAnsi="宋体" w:cs="宋体"/>
          <w:szCs w:val="24"/>
        </w:rPr>
        <w:t>4.2 中标通知书对招标单位和中标单位具有法律约束力。中标通知书发出后，招标单位改变中标结果或者中标单位放弃中标，均应当承担相应的法律责任，且不影响中标服务费的支付。</w:t>
      </w:r>
    </w:p>
    <w:p>
      <w:pPr>
        <w:spacing w:line="480" w:lineRule="auto"/>
        <w:ind w:firstLine="480" w:firstLineChars="200"/>
        <w:rPr>
          <w:rFonts w:ascii="宋体" w:hAnsi="宋体" w:cs="宋体"/>
          <w:sz w:val="24"/>
          <w:szCs w:val="24"/>
        </w:rPr>
      </w:pPr>
      <w:r>
        <w:rPr>
          <w:rFonts w:hint="eastAsia" w:ascii="宋体" w:hAnsi="宋体" w:cs="宋体"/>
          <w:sz w:val="24"/>
          <w:szCs w:val="24"/>
        </w:rPr>
        <w:t>4.3 代理机构及招标单位对未中标单位不承担解释未中标原因的义务。</w:t>
      </w:r>
    </w:p>
    <w:p>
      <w:pPr>
        <w:spacing w:line="480" w:lineRule="auto"/>
        <w:jc w:val="left"/>
        <w:rPr>
          <w:rFonts w:ascii="宋体" w:hAnsi="宋体" w:cs="宋体"/>
          <w:b/>
          <w:bCs/>
          <w:sz w:val="24"/>
          <w:szCs w:val="24"/>
        </w:rPr>
      </w:pPr>
      <w:r>
        <w:rPr>
          <w:rFonts w:hint="eastAsia" w:ascii="宋体" w:hAnsi="宋体" w:cs="宋体"/>
          <w:b/>
          <w:bCs/>
          <w:sz w:val="24"/>
          <w:szCs w:val="24"/>
        </w:rPr>
        <w:t>十四、招标平台服务费</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1.中标单位应在领取中标通知书的同时将</w:t>
      </w:r>
      <w:r>
        <w:rPr>
          <w:rFonts w:hint="eastAsia" w:ascii="宋体" w:hAnsi="宋体" w:cs="宋体"/>
          <w:bCs/>
          <w:sz w:val="24"/>
          <w:szCs w:val="24"/>
        </w:rPr>
        <w:t>招标平台服务费</w:t>
      </w:r>
      <w:r>
        <w:rPr>
          <w:rFonts w:hint="eastAsia" w:ascii="宋体" w:hAnsi="宋体" w:cs="宋体"/>
          <w:sz w:val="24"/>
          <w:szCs w:val="24"/>
        </w:rPr>
        <w:t>付至代理机构指定帐户。</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2.收取</w:t>
      </w:r>
      <w:r>
        <w:rPr>
          <w:rFonts w:hint="eastAsia" w:ascii="宋体" w:hAnsi="宋体" w:cs="宋体"/>
          <w:bCs/>
          <w:sz w:val="24"/>
          <w:szCs w:val="24"/>
        </w:rPr>
        <w:t>招标平台服务费</w:t>
      </w:r>
      <w:r>
        <w:rPr>
          <w:rFonts w:hint="eastAsia" w:ascii="宋体" w:hAnsi="宋体" w:cs="宋体"/>
          <w:sz w:val="24"/>
          <w:szCs w:val="24"/>
        </w:rPr>
        <w:t>账户信息:</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收款单位：江苏畅誉项目管理有限公司</w:t>
      </w:r>
    </w:p>
    <w:p>
      <w:pPr>
        <w:spacing w:line="480" w:lineRule="auto"/>
        <w:ind w:firstLine="482" w:firstLineChars="200"/>
        <w:jc w:val="left"/>
        <w:rPr>
          <w:rFonts w:ascii="宋体" w:hAnsi="宋体" w:cs="宋体"/>
          <w:b/>
          <w:bCs/>
          <w:sz w:val="24"/>
          <w:szCs w:val="24"/>
        </w:rPr>
      </w:pPr>
      <w:r>
        <w:rPr>
          <w:rFonts w:hint="eastAsia" w:ascii="宋体" w:hAnsi="宋体" w:cs="宋体"/>
          <w:b/>
          <w:bCs/>
          <w:sz w:val="24"/>
          <w:szCs w:val="24"/>
        </w:rPr>
        <w:t>银行账号：1079400000009982</w:t>
      </w:r>
    </w:p>
    <w:p>
      <w:pPr>
        <w:spacing w:line="480" w:lineRule="auto"/>
        <w:ind w:firstLine="482" w:firstLineChars="200"/>
        <w:jc w:val="left"/>
        <w:rPr>
          <w:rFonts w:ascii="宋体" w:hAnsi="宋体" w:cs="宋体"/>
          <w:b/>
          <w:bCs/>
          <w:sz w:val="24"/>
          <w:szCs w:val="24"/>
        </w:rPr>
      </w:pPr>
      <w:r>
        <w:rPr>
          <w:rFonts w:hint="eastAsia" w:ascii="宋体" w:hAnsi="宋体" w:cs="宋体"/>
          <w:b/>
          <w:bCs/>
          <w:sz w:val="24"/>
          <w:szCs w:val="24"/>
        </w:rPr>
        <w:t>开户银行：江南农村商业银行股份有限公司常州市东青支行</w:t>
      </w:r>
    </w:p>
    <w:p>
      <w:pPr>
        <w:spacing w:line="480" w:lineRule="auto"/>
        <w:ind w:firstLine="480" w:firstLineChars="200"/>
        <w:rPr>
          <w:rFonts w:ascii="宋体" w:hAnsi="宋体" w:cs="宋体"/>
          <w:sz w:val="24"/>
          <w:szCs w:val="24"/>
        </w:rPr>
      </w:pPr>
      <w:r>
        <w:rPr>
          <w:rFonts w:hint="eastAsia" w:ascii="宋体" w:hAnsi="宋体" w:cs="宋体"/>
          <w:sz w:val="24"/>
          <w:szCs w:val="24"/>
        </w:rPr>
        <w:t>缴纳方式：以银行电汇或转账（备注项目编号），汇款后将凭证发送至我司邮箱（jschangyu@qq.com）</w:t>
      </w:r>
    </w:p>
    <w:p>
      <w:pPr>
        <w:spacing w:line="480" w:lineRule="auto"/>
        <w:jc w:val="left"/>
        <w:rPr>
          <w:rFonts w:ascii="宋体" w:hAnsi="宋体" w:cs="宋体"/>
          <w:kern w:val="0"/>
          <w:sz w:val="24"/>
          <w:szCs w:val="24"/>
        </w:rPr>
      </w:pPr>
      <w:r>
        <w:rPr>
          <w:rFonts w:hint="eastAsia" w:ascii="宋体" w:hAnsi="宋体" w:cs="宋体"/>
          <w:kern w:val="0"/>
          <w:sz w:val="24"/>
          <w:szCs w:val="24"/>
        </w:rPr>
        <w:t>3.招标平台服务收费标准</w:t>
      </w:r>
    </w:p>
    <w:p>
      <w:pPr>
        <w:pStyle w:val="26"/>
        <w:spacing w:line="360" w:lineRule="auto"/>
        <w:rPr>
          <w:rFonts w:hAnsi="宋体"/>
          <w:color w:val="auto"/>
          <w:sz w:val="28"/>
          <w:szCs w:val="28"/>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740" w:type="dxa"/>
          </w:tcPr>
          <w:p>
            <w:pPr>
              <w:ind w:firstLine="1200" w:firstLineChars="500"/>
              <w:rPr>
                <w:rFonts w:ascii="宋体" w:hAnsi="宋体" w:cs="宋体"/>
                <w:bCs/>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885190</wp:posOffset>
                      </wp:positionH>
                      <wp:positionV relativeFrom="paragraph">
                        <wp:posOffset>-1905</wp:posOffset>
                      </wp:positionV>
                      <wp:extent cx="787400" cy="1409700"/>
                      <wp:effectExtent l="0" t="0" r="31750" b="1905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a:effectLst/>
                            </wps:spPr>
                            <wps:bodyPr/>
                          </wps:wsp>
                        </a:graphicData>
                      </a:graphic>
                    </wp:anchor>
                  </w:drawing>
                </mc:Choice>
                <mc:Fallback>
                  <w:pict>
                    <v:line id="_x0000_s1026" o:spid="_x0000_s1026" o:spt="20" style="position:absolute;left:0pt;flip:x y;margin-left:69.7pt;margin-top:-0.15pt;height:111pt;width:62pt;z-index:251659264;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BcgpUf5wEAALUDAAAOAAAAZHJzL2Uyb0RvYy54bWytU7tu2zAU&#10;3QvkHwjutWQnqRPBcoYYSYeiNdA2O02REgG+wEtb9k/0Bwp0a6eO3fs3TT+jl5RipOmSoRqI+zy8&#10;5/BqcbU3muxEAOVsTaeTkhJhuWuUbWv68cPNywtKIDLbMO2sqOlBAL1anrxY9L4SM9c53YhAEMRC&#10;1fuadjH6qiiAd8IwmDgvLCalC4ZFdENbNIH1iG50MSvLV0XvQuOD4wIAo6shSUfE8BxAJ6XiYuX4&#10;1ggbB9QgNItICTrlgS7ztFIKHt9JCSISXVNkGvOJl6C9SWexXLCqDcx3io8jsOeM8ISTYcripUeo&#10;FYuMbIP6B8ooHhw4GSfcmWIgkhVBFtPyiTbvO+ZF5oJSgz+KDv8Plr/drQNRTU1PKbHM4IPff/7x&#10;69PX3z+/4Hn//Rs5TSL1HiqsvbbrMHrg1yEx3stgiNTKv8Ztotm6S1bKIT+yz2IfjmKLfSQcg/OL&#10;+VmJz8AxNT0rL+foIHQxIKZuHyDeCmdIMmqqlU1isIrt3kAcSh9KUlhb0tf08nx2jqAMN1PiRqBp&#10;PLID2+ZecFo1N0rr1AGh3VzrQHYsbUf+xhH+KkuXrBh0Q11OpTJWBbe1zTCItikg8saN0yXJBpGS&#10;tXHNIWtXJA9fM1MdNy+ty2Mf7cd/2/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1oZEdQAAAAJ&#10;AQAADwAAAAAAAAABACAAAAAiAAAAZHJzL2Rvd25yZXYueG1sUEsBAhQAFAAAAAgAh07iQFyClR/n&#10;AQAAtQMAAA4AAAAAAAAAAQAgAAAAIwEAAGRycy9lMm9Eb2MueG1sUEsFBgAAAAAGAAYAWQEAAHwF&#10;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-2540</wp:posOffset>
                      </wp:positionV>
                      <wp:extent cx="635" cy="635"/>
                      <wp:effectExtent l="0" t="0" r="37465" b="3746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8.7pt;margin-top:-0.2pt;height:0.05pt;width:0.05pt;z-index:251660288;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Ca26QL1AQAA9AMAAA4AAABkcnMvZTJvRG9jLnhtbK1TzY7TMBC+&#10;I/EOlu802aJdQdR0D1uWC4JKwANMbaex5D953KZ9CV4AiRucOHLnbVgeg7ETyrJceiAHZ2Y883m+&#10;z+PF9cEatlcRtXctv5jVnCknvNRu2/L3726fPOMMEzgJxjvV8qNCfr18/GgxhEbNfe+NVJERiMNm&#10;CC3vUwpNVaHolQWc+aAcbXY+Wkjkxm0lIwyEbk01r+uravBRhuiFQqToatzkE2I8B9B3nRZq5cXO&#10;KpdG1KgMJKKEvQ7Il6XbrlMivek6VImZlhPTVFY6hOxNXqvlAppthNBrMbUA57TwgJMF7ejQE9QK&#10;ErBd1P9AWS2iR9+lmfC2GokURYjFRf1Am7c9BFW4kNQYTqLj/4MVr/fryLSkSajndPMOLN353cdv&#10;Pz58/vn9E613X7+wskdSDQEbqrhx6zh5GNYx8z500eY/MWKHIu/xJK86JCYoePX0kjNB8WxQffWn&#10;LERML5W3LBstN9pl3tDA/hWmMfV3Sg4bx4aWP7+cZ0CgIezo8sm0gYig25Za9EbLW21MrsC43dyY&#10;yPaQB6F8Uwt/peVDVoD9mFe2xhGJfuckNQJNr0C+cJKlYyClHL0RnpuxSnJmFD2pbJXMBNqck0k6&#10;GJehVRnYiXHWelQ3Wxsvj0X0Kns0DEW+aXDztN33yb7/WJ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8BSNrTAAAABwEAAA8AAAAAAAAAAQAgAAAAIgAAAGRycy9kb3ducmV2LnhtbFBLAQIUABQA&#10;AAAIAIdO4kAmtukC9QEAAPQDAAAOAAAAAAAAAAEAIAAAACIBAABkcnMvZTJvRG9jLnhtbFBLBQYA&#10;AAAABgAGAFkBAACJBQAAAAA=&#10;">
                      <v:fill on="f" focussize="0,0"/>
                      <v:stroke color="#000000" joinstyle="round"/>
                      <v:imagedata o:title=""/>
                      <o:lock v:ext="edit" aspectratio="f"/>
                    </v:line>
                  </w:pict>
                </mc:Fallback>
              </mc:AlternateContent>
            </w:r>
          </w:p>
          <w:p>
            <w:pPr>
              <w:ind w:firstLine="960" w:firstLineChars="400"/>
              <w:rPr>
                <w:rFonts w:ascii="宋体" w:hAnsi="宋体" w:cs="宋体"/>
                <w:bCs/>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137795</wp:posOffset>
                      </wp:positionV>
                      <wp:extent cx="1708150" cy="1042670"/>
                      <wp:effectExtent l="0" t="0" r="25400" b="2413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a:effectLst/>
                            </wps:spPr>
                            <wps:bodyPr/>
                          </wps:wsp>
                        </a:graphicData>
                      </a:graphic>
                    </wp:anchor>
                  </w:drawing>
                </mc:Choice>
                <mc:Fallback>
                  <w:pict>
                    <v:line id="_x0000_s1026" o:spid="_x0000_s1026" o:spt="20" style="position:absolute;left:0pt;flip:x y;margin-left:-2.8pt;margin-top:10.85pt;height:82.1pt;width:134.5pt;z-index:251661312;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owf57u0BAAC8AwAADgAAAGRycy9lMm9Eb2MueG1srVPNjtMw&#10;EL4j8Q6W7zRJRbdL1HQPWy0cEFTi5+46dmLJf/K4TfsSvAASNzhx5L5vw/IYjJ1QLctlD+RgzXg8&#10;n+f7/GV1dTSaHEQA5WxDq1lJibDctcp2Df3w/ubZJSUQmW2ZdlY09CSAXq2fPlkNvhZz1zvdikAQ&#10;xEI9+Ib2Mfq6KID3wjCYOS8sFqULhkVMQ1e0gQ2IbnQxL8uLYnCh9cFxAYC7m7FIJ8TwGEAnpeJi&#10;4/jeCBtH1CA0i0gJeuWBrvO0Ugoe30oJIhLdUGQa84qXYLxLa7FesboLzPeKTyOwx4zwgJNhyuKl&#10;Z6gNi4zsg/oHyigeHDgZZ9yZYiSSFUEWVflAm3c98yJzQanBn0WH/wfL3xy2gagWnVDOl5RYZvDN&#10;7z7/+Pnp66/bL7jeff9Gcg2lGjzU2HFtt2HKwG9D4n2UwRCplX+FSDRHH1OUasiSHLPkp7Pk4hgJ&#10;x81qWV5WC3wNjrWqfD6/WOZHKUbI1O4DxJfCGZKChmplkyasZofXEHEMPPrnSNrWlgwNfbGYLxCU&#10;oUElGgND45Ek2C73gtOqvVFapw4I3e5aB3JgyST5S75A3L+OpUs2DPrxXC6N9glub9uxQdsEKLLx&#10;pumSZqNKKdq59pTFK1KGj5rvmQyYXHM/x/j+T7f+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i/&#10;14TVAAAACQEAAA8AAAAAAAAAAQAgAAAAIgAAAGRycy9kb3ducmV2LnhtbFBLAQIUABQAAAAIAIdO&#10;4kCjB/nu7QEAALw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cs="宋体"/>
                <w:bCs/>
                <w:sz w:val="24"/>
              </w:rPr>
              <w:t>服务     类</w:t>
            </w:r>
          </w:p>
          <w:p>
            <w:pPr>
              <w:jc w:val="right"/>
              <w:rPr>
                <w:rFonts w:ascii="宋体" w:hAnsi="宋体" w:cs="宋体"/>
                <w:bCs/>
                <w:sz w:val="24"/>
              </w:rPr>
            </w:pPr>
            <w:r>
              <w:rPr>
                <w:rFonts w:hint="eastAsia" w:ascii="宋体" w:hAnsi="宋体" w:cs="宋体"/>
                <w:bCs/>
                <w:sz w:val="24"/>
              </w:rPr>
              <w:t>费率     型        　　　</w:t>
            </w:r>
          </w:p>
          <w:p>
            <w:pPr>
              <w:rPr>
                <w:rFonts w:ascii="宋体" w:hAnsi="宋体" w:cs="宋体"/>
                <w:bCs/>
                <w:sz w:val="24"/>
              </w:rPr>
            </w:pPr>
          </w:p>
          <w:p>
            <w:pPr>
              <w:rPr>
                <w:rFonts w:ascii="宋体" w:hAnsi="宋体" w:cs="宋体"/>
                <w:bCs/>
                <w:sz w:val="24"/>
              </w:rPr>
            </w:pPr>
          </w:p>
          <w:p>
            <w:pPr>
              <w:rPr>
                <w:rFonts w:ascii="宋体" w:hAnsi="宋体" w:cs="宋体"/>
                <w:bCs/>
                <w:sz w:val="24"/>
              </w:rPr>
            </w:pPr>
            <w:r>
              <w:rPr>
                <w:rFonts w:hint="eastAsia" w:ascii="宋体" w:hAnsi="宋体" w:cs="宋体"/>
                <w:bCs/>
                <w:sz w:val="24"/>
              </w:rPr>
              <w:t>中标金额（万元）</w:t>
            </w:r>
          </w:p>
        </w:tc>
        <w:tc>
          <w:tcPr>
            <w:tcW w:w="1247" w:type="dxa"/>
            <w:vAlign w:val="center"/>
          </w:tcPr>
          <w:p>
            <w:pPr>
              <w:jc w:val="center"/>
              <w:rPr>
                <w:rFonts w:ascii="宋体" w:hAnsi="宋体" w:cs="宋体"/>
                <w:bCs/>
                <w:sz w:val="24"/>
              </w:rPr>
            </w:pPr>
            <w:r>
              <w:rPr>
                <w:rFonts w:hint="eastAsia" w:ascii="宋体" w:hAnsi="宋体" w:cs="宋体"/>
                <w:bCs/>
                <w:sz w:val="24"/>
              </w:rPr>
              <w:t>货物招标</w:t>
            </w:r>
          </w:p>
        </w:tc>
        <w:tc>
          <w:tcPr>
            <w:tcW w:w="1247" w:type="dxa"/>
            <w:vAlign w:val="center"/>
          </w:tcPr>
          <w:p>
            <w:pPr>
              <w:jc w:val="center"/>
              <w:rPr>
                <w:rFonts w:ascii="宋体" w:hAnsi="宋体" w:cs="宋体"/>
                <w:bCs/>
                <w:sz w:val="24"/>
              </w:rPr>
            </w:pPr>
            <w:r>
              <w:rPr>
                <w:rFonts w:hint="eastAsia" w:ascii="宋体" w:hAnsi="宋体" w:cs="宋体"/>
                <w:bCs/>
                <w:sz w:val="24"/>
              </w:rPr>
              <w:t>服务招标</w:t>
            </w:r>
          </w:p>
        </w:tc>
        <w:tc>
          <w:tcPr>
            <w:tcW w:w="1247" w:type="dxa"/>
            <w:vAlign w:val="center"/>
          </w:tcPr>
          <w:p>
            <w:pPr>
              <w:jc w:val="center"/>
              <w:rPr>
                <w:rFonts w:ascii="宋体" w:hAnsi="宋体" w:cs="宋体"/>
                <w:bCs/>
                <w:sz w:val="24"/>
              </w:rPr>
            </w:pPr>
            <w:r>
              <w:rPr>
                <w:rFonts w:hint="eastAsia" w:ascii="宋体" w:hAnsi="宋体" w:cs="宋体"/>
                <w:bCs/>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100以下</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ind w:firstLine="720" w:firstLineChars="300"/>
              <w:rPr>
                <w:rFonts w:ascii="宋体" w:hAnsi="宋体" w:cs="宋体"/>
                <w:sz w:val="24"/>
              </w:rPr>
            </w:pPr>
            <w:r>
              <w:rPr>
                <w:rFonts w:hint="eastAsia" w:ascii="宋体" w:hAnsi="宋体" w:cs="宋体"/>
                <w:sz w:val="24"/>
              </w:rPr>
              <w:t>100-500</w:t>
            </w:r>
          </w:p>
        </w:tc>
        <w:tc>
          <w:tcPr>
            <w:tcW w:w="1247" w:type="dxa"/>
          </w:tcPr>
          <w:p>
            <w:pPr>
              <w:jc w:val="center"/>
              <w:rPr>
                <w:rFonts w:ascii="宋体" w:hAnsi="宋体" w:cs="宋体"/>
                <w:sz w:val="24"/>
              </w:rPr>
            </w:pPr>
            <w:r>
              <w:rPr>
                <w:rFonts w:hint="eastAsia" w:ascii="宋体" w:hAnsi="宋体" w:cs="宋体"/>
                <w:sz w:val="24"/>
              </w:rPr>
              <w:t>1.1%</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500-1000</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0.45%</w:t>
            </w:r>
          </w:p>
        </w:tc>
        <w:tc>
          <w:tcPr>
            <w:tcW w:w="1247" w:type="dxa"/>
          </w:tcPr>
          <w:p>
            <w:pPr>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r>
    </w:tbl>
    <w:p>
      <w:pPr>
        <w:spacing w:line="480" w:lineRule="auto"/>
        <w:ind w:firstLine="480" w:firstLineChars="200"/>
        <w:rPr>
          <w:rFonts w:ascii="宋体" w:hAnsi="宋体" w:cs="宋体"/>
          <w:bCs/>
          <w:sz w:val="24"/>
          <w:szCs w:val="24"/>
        </w:rPr>
      </w:pPr>
    </w:p>
    <w:p>
      <w:pPr>
        <w:spacing w:line="480" w:lineRule="auto"/>
        <w:ind w:firstLine="480" w:firstLineChars="200"/>
        <w:rPr>
          <w:rFonts w:ascii="宋体" w:hAnsi="宋体" w:cs="宋体"/>
          <w:bCs/>
          <w:sz w:val="24"/>
          <w:szCs w:val="24"/>
        </w:rPr>
      </w:pPr>
      <w:r>
        <w:rPr>
          <w:rFonts w:hint="eastAsia" w:ascii="宋体" w:hAnsi="宋体" w:cs="宋体"/>
          <w:bCs/>
          <w:sz w:val="24"/>
          <w:szCs w:val="24"/>
        </w:rPr>
        <w:t>3.1</w:t>
      </w:r>
      <w:r>
        <w:rPr>
          <w:rFonts w:hint="eastAsia" w:ascii="宋体" w:hAnsi="宋体" w:cs="宋体"/>
          <w:sz w:val="24"/>
          <w:szCs w:val="24"/>
        </w:rPr>
        <w:t>招标平台</w:t>
      </w:r>
      <w:r>
        <w:rPr>
          <w:rFonts w:hint="eastAsia" w:ascii="宋体" w:hAnsi="宋体" w:cs="宋体"/>
          <w:bCs/>
          <w:sz w:val="24"/>
          <w:szCs w:val="24"/>
        </w:rPr>
        <w:t>服务收费按差额定率累进法计算。</w:t>
      </w:r>
    </w:p>
    <w:p>
      <w:pPr>
        <w:adjustRightInd w:val="0"/>
        <w:snapToGrid w:val="0"/>
        <w:spacing w:line="480" w:lineRule="auto"/>
        <w:ind w:firstLine="480" w:firstLineChars="200"/>
        <w:rPr>
          <w:rFonts w:ascii="宋体" w:hAnsi="宋体" w:cs="宋体"/>
          <w:sz w:val="24"/>
          <w:szCs w:val="24"/>
        </w:rPr>
      </w:pPr>
      <w:r>
        <w:rPr>
          <w:rFonts w:hint="eastAsia" w:ascii="宋体" w:hAnsi="宋体" w:cs="宋体"/>
          <w:bCs/>
          <w:sz w:val="24"/>
          <w:szCs w:val="24"/>
        </w:rPr>
        <w:t>3.2</w:t>
      </w:r>
      <w:r>
        <w:rPr>
          <w:rFonts w:hint="eastAsia" w:ascii="宋体" w:hAnsi="宋体" w:cs="宋体"/>
          <w:sz w:val="24"/>
          <w:szCs w:val="24"/>
        </w:rPr>
        <w:t>招标平台服务收费按中标金额确定（本项目按上述计算方法不足人民币3000元的，按人民币3000元收取。招标平台服务费由中标单位支付。</w:t>
      </w:r>
    </w:p>
    <w:p>
      <w:pPr>
        <w:snapToGrid w:val="0"/>
        <w:spacing w:line="480" w:lineRule="auto"/>
        <w:rPr>
          <w:rFonts w:ascii="宋体" w:hAnsi="宋体" w:cs="宋体"/>
          <w:b/>
          <w:sz w:val="24"/>
          <w:szCs w:val="24"/>
        </w:rPr>
      </w:pPr>
      <w:bookmarkStart w:id="107" w:name="_Toc288738822"/>
      <w:bookmarkStart w:id="108" w:name="_Toc288738354"/>
      <w:bookmarkStart w:id="109" w:name="_Toc288738428"/>
      <w:r>
        <w:rPr>
          <w:rFonts w:hint="eastAsia" w:ascii="宋体" w:hAnsi="宋体" w:cs="宋体"/>
          <w:b/>
          <w:sz w:val="24"/>
          <w:szCs w:val="24"/>
        </w:rPr>
        <w:t>十五、授予合同，合同条款</w:t>
      </w:r>
      <w:bookmarkEnd w:id="107"/>
      <w:bookmarkEnd w:id="108"/>
      <w:bookmarkEnd w:id="109"/>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1、中标人应当在中标通知书发出之日起的三十日内与采购人签订合同。</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2、中标人应按中标通知书指定的时间、地点派代表前来与采购人具体商谈签订合同。招标文件、中标人的投标文件及澄清文件等，均为签订合同的依据。</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3、采购人在授予合同时有权对“投标文件”中的服务内容在合法范围内进行调整。</w:t>
      </w:r>
    </w:p>
    <w:p>
      <w:pPr>
        <w:spacing w:line="480" w:lineRule="auto"/>
        <w:ind w:firstLine="480" w:firstLineChars="200"/>
        <w:rPr>
          <w:rFonts w:ascii="宋体" w:hAnsi="宋体" w:cs="宋体"/>
          <w:sz w:val="24"/>
          <w:szCs w:val="24"/>
        </w:rPr>
      </w:pPr>
      <w:r>
        <w:rPr>
          <w:rFonts w:hint="eastAsia" w:ascii="宋体" w:hAnsi="宋体" w:cs="宋体"/>
          <w:sz w:val="24"/>
          <w:szCs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采购人可以与排位在中标人之后第一位的中标候选人签订合同或重新委托进行招标。</w:t>
      </w:r>
    </w:p>
    <w:p>
      <w:pPr>
        <w:spacing w:line="480" w:lineRule="auto"/>
        <w:rPr>
          <w:rFonts w:ascii="宋体" w:hAnsi="宋体" w:cs="宋体"/>
          <w:b/>
          <w:sz w:val="24"/>
          <w:szCs w:val="24"/>
        </w:rPr>
      </w:pPr>
      <w:r>
        <w:rPr>
          <w:rFonts w:hint="eastAsia" w:ascii="宋体" w:hAnsi="宋体" w:cs="宋体"/>
          <w:b/>
          <w:sz w:val="24"/>
          <w:szCs w:val="24"/>
        </w:rPr>
        <w:t>十六、政府采购政策功能</w:t>
      </w:r>
    </w:p>
    <w:p>
      <w:pPr>
        <w:spacing w:line="48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强制采购节能产品（《节能产品政府采购清单》中以“★”标注的）、强制采购信息安全产品、优先采购环境标志产品。节能产品指财政部和发改委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单》的产品。</w:t>
      </w:r>
    </w:p>
    <w:p>
      <w:pPr>
        <w:spacing w:line="48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根据</w:t>
      </w:r>
      <w:r>
        <w:rPr>
          <w:rFonts w:hint="eastAsia" w:ascii="宋体" w:hAnsi="宋体" w:cs="宋体"/>
          <w:sz w:val="24"/>
          <w:szCs w:val="24"/>
        </w:rPr>
        <w:t>《政府采购促进中小企业发展管理办法》的通知（财库〔2020〕46号）</w:t>
      </w:r>
      <w:r>
        <w:rPr>
          <w:rFonts w:ascii="宋体" w:hAnsi="宋体" w:cs="宋体"/>
          <w:sz w:val="24"/>
          <w:szCs w:val="24"/>
        </w:rPr>
        <w:t>，小型、微型企业在评审时享受扶持政策。小、微企业划型标准见《关于印发中小企业划型标准规定的通知》（工信部联企业[2011]300号）。</w:t>
      </w:r>
    </w:p>
    <w:p>
      <w:pPr>
        <w:spacing w:line="48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w:t>
      </w:r>
      <w:r>
        <w:rPr>
          <w:rFonts w:ascii="宋体" w:hAnsi="宋体" w:cs="宋体"/>
          <w:sz w:val="24"/>
          <w:szCs w:val="24"/>
        </w:rPr>
        <w:t>关于常州市中小企业政府采购信用融资</w:t>
      </w:r>
    </w:p>
    <w:p>
      <w:pPr>
        <w:spacing w:line="480" w:lineRule="auto"/>
        <w:ind w:firstLine="480" w:firstLineChars="200"/>
        <w:rPr>
          <w:rFonts w:ascii="宋体" w:hAnsi="宋体" w:cs="宋体"/>
          <w:sz w:val="24"/>
          <w:szCs w:val="24"/>
        </w:rPr>
      </w:pPr>
      <w:r>
        <w:rPr>
          <w:rFonts w:ascii="宋体" w:hAnsi="宋体" w:cs="宋体"/>
          <w:sz w:val="24"/>
          <w:szCs w:val="24"/>
        </w:rPr>
        <w:t>3.1</w:t>
      </w:r>
      <w:r>
        <w:rPr>
          <w:rFonts w:hint="eastAsia" w:ascii="宋体" w:hAnsi="宋体" w:cs="宋体"/>
          <w:sz w:val="24"/>
          <w:szCs w:val="24"/>
        </w:rPr>
        <w:t xml:space="preserve"> </w:t>
      </w:r>
      <w:r>
        <w:rPr>
          <w:rFonts w:ascii="宋体" w:hAnsi="宋体" w:cs="宋体"/>
          <w:sz w:val="24"/>
          <w:szCs w:val="24"/>
        </w:rPr>
        <w:t>根据《常州市关于开展中小企业政府采购信用融资工作的通知》（常政办发〔2012〕134号）、《常州市财政局关于全面开展常州市中小企业政府采购信用融资工作的通知》等有关文件精神，我市实行政府采购信用融资。金融机构根据政府采购项目中标合同，为中标企业提供相应额度的融资贷款。</w:t>
      </w:r>
    </w:p>
    <w:p>
      <w:pPr>
        <w:tabs>
          <w:tab w:val="left" w:pos="426"/>
        </w:tabs>
        <w:spacing w:line="480" w:lineRule="auto"/>
        <w:ind w:firstLine="480" w:firstLineChars="200"/>
        <w:rPr>
          <w:rFonts w:ascii="宋体" w:hAnsi="宋体" w:cs="宋体"/>
          <w:sz w:val="24"/>
          <w:szCs w:val="24"/>
        </w:rPr>
      </w:pPr>
      <w:r>
        <w:rPr>
          <w:rFonts w:ascii="宋体" w:hAnsi="宋体" w:cs="宋体"/>
          <w:sz w:val="24"/>
          <w:szCs w:val="24"/>
        </w:rPr>
        <w:t>3.2</w:t>
      </w:r>
      <w:r>
        <w:rPr>
          <w:rFonts w:hint="eastAsia" w:ascii="宋体" w:hAnsi="宋体" w:cs="宋体"/>
          <w:sz w:val="24"/>
          <w:szCs w:val="24"/>
        </w:rPr>
        <w:t xml:space="preserve"> </w:t>
      </w:r>
      <w:r>
        <w:rPr>
          <w:rFonts w:ascii="宋体" w:hAnsi="宋体" w:cs="宋体"/>
          <w:sz w:val="24"/>
          <w:szCs w:val="24"/>
        </w:rPr>
        <w:t>申请条件及操作流程等事项详见《常州市财政局关于全面开展常州市中小企业政府采购信用融资工作的通知》。</w:t>
      </w:r>
    </w:p>
    <w:p>
      <w:pPr>
        <w:spacing w:line="480" w:lineRule="auto"/>
        <w:rPr>
          <w:rFonts w:ascii="宋体" w:hAnsi="宋体" w:cs="宋体"/>
          <w:b/>
          <w:sz w:val="24"/>
          <w:szCs w:val="24"/>
        </w:rPr>
      </w:pPr>
      <w:r>
        <w:rPr>
          <w:rFonts w:hint="eastAsia" w:ascii="宋体" w:hAnsi="宋体" w:cs="宋体"/>
          <w:b/>
          <w:sz w:val="24"/>
          <w:szCs w:val="24"/>
        </w:rPr>
        <w:t>十七、投标人质疑的提出和答复</w:t>
      </w:r>
    </w:p>
    <w:p>
      <w:pPr>
        <w:spacing w:line="480" w:lineRule="auto"/>
        <w:ind w:firstLine="480" w:firstLineChars="200"/>
        <w:rPr>
          <w:rFonts w:ascii="宋体" w:hAnsi="宋体" w:cs="宋体"/>
          <w:sz w:val="24"/>
          <w:szCs w:val="24"/>
        </w:rPr>
      </w:pPr>
      <w:r>
        <w:rPr>
          <w:rFonts w:hint="eastAsia" w:ascii="宋体" w:hAnsi="宋体" w:cs="宋体"/>
          <w:sz w:val="24"/>
          <w:szCs w:val="24"/>
        </w:rPr>
        <w:t>1、投标人认为采购文件、采购过程、中标或者成交结果使自己的权益受到损害的，可以在知道或者应知其权益受到损害之日起7个工作日内，以书面形式向采购人、采购代理机构提出质疑。投标人应当在法定质疑期内一次性提出针对同一采购程序环节的质疑。</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2、投标人提出质疑应当提交质疑函和必要的证明材料。质疑函应当包括下列内容：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（一）投标人的姓名或者名称、地址、邮编、联系人及联系电话；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（二）质疑项目的名称、编号；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（三）具体、明确的质疑事项和与质疑事项相关的请求；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（四）事实依据；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（五）必要的法律依据；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（六）提出质疑的日期。 </w:t>
      </w:r>
    </w:p>
    <w:p>
      <w:pPr>
        <w:spacing w:line="480" w:lineRule="auto"/>
        <w:ind w:firstLine="480" w:firstLineChars="200"/>
        <w:rPr>
          <w:rFonts w:ascii="宋体" w:hAnsi="宋体" w:cs="宋体"/>
          <w:sz w:val="24"/>
          <w:szCs w:val="24"/>
        </w:rPr>
      </w:pPr>
      <w:r>
        <w:rPr>
          <w:rFonts w:hint="eastAsia" w:ascii="宋体" w:hAnsi="宋体" w:cs="宋体"/>
          <w:sz w:val="24"/>
          <w:szCs w:val="24"/>
        </w:rPr>
        <w:t>投标人为自然人的，应当由本人签字；投标人为法人或者其他组织的，应当由法定代表人、主要负责人，或者其授权代表签字或者盖章，并加盖公章。</w:t>
      </w:r>
    </w:p>
    <w:p>
      <w:pPr>
        <w:spacing w:line="480" w:lineRule="auto"/>
        <w:ind w:firstLine="480" w:firstLineChars="200"/>
        <w:rPr>
          <w:rFonts w:ascii="宋体" w:hAnsi="宋体" w:cs="宋体"/>
          <w:kern w:val="0"/>
          <w:sz w:val="24"/>
          <w:szCs w:val="24"/>
        </w:rPr>
      </w:pPr>
      <w:r>
        <w:rPr>
          <w:rFonts w:hint="eastAsia" w:ascii="宋体" w:hAnsi="宋体" w:cs="宋体"/>
          <w:kern w:val="0"/>
          <w:sz w:val="24"/>
          <w:szCs w:val="24"/>
        </w:rPr>
        <w:t>质疑函制作应按照财政部《政府采购供应商质疑函范本》格式和要。网址：</w:t>
      </w:r>
      <w:r>
        <w:rPr>
          <w:rFonts w:ascii="宋体" w:hAnsi="宋体" w:cs="宋体"/>
          <w:spacing w:val="-20"/>
          <w:kern w:val="0"/>
          <w:sz w:val="24"/>
          <w:szCs w:val="24"/>
        </w:rPr>
        <w:t>www.mof.gov.cn/gp/xxgkml/gks/201802/t20180201_2804587.ht</w:t>
      </w:r>
      <w:r>
        <w:rPr>
          <w:spacing w:val="-20"/>
          <w:kern w:val="0"/>
          <w:sz w:val="24"/>
          <w:szCs w:val="24"/>
        </w:rPr>
        <w:t>ml</w:t>
      </w:r>
    </w:p>
    <w:p>
      <w:pPr>
        <w:spacing w:line="480" w:lineRule="auto"/>
        <w:ind w:firstLine="480" w:firstLineChars="200"/>
        <w:rPr>
          <w:rFonts w:ascii="宋体" w:hAnsi="宋体" w:cs="宋体"/>
          <w:sz w:val="24"/>
          <w:szCs w:val="24"/>
        </w:rPr>
      </w:pPr>
      <w:r>
        <w:rPr>
          <w:rFonts w:hint="eastAsia" w:ascii="宋体" w:hAnsi="宋体" w:cs="宋体"/>
          <w:sz w:val="24"/>
          <w:szCs w:val="24"/>
        </w:rPr>
        <w:t>3、采购文件中采购需求部分（第七章、第八章以及投标人资格要求）由采购人负责制定。对该部分内容的质疑，由采购人接收并负责答复。其他内容的质疑，由采购中心接收并负责答复。</w:t>
      </w:r>
    </w:p>
    <w:p>
      <w:pPr>
        <w:spacing w:line="360" w:lineRule="auto"/>
        <w:ind w:firstLine="480" w:firstLineChars="200"/>
        <w:rPr>
          <w:rFonts w:ascii="宋体" w:hAnsi="宋体" w:cs="宋体"/>
          <w:sz w:val="24"/>
          <w:szCs w:val="24"/>
        </w:rPr>
      </w:pPr>
      <w:r>
        <w:rPr>
          <w:rFonts w:hint="eastAsia" w:ascii="宋体" w:hAnsi="宋体" w:cs="宋体"/>
          <w:sz w:val="24"/>
          <w:szCs w:val="24"/>
        </w:rPr>
        <w:t>4、接收质疑函的联系方式：</w:t>
      </w:r>
    </w:p>
    <w:p>
      <w:pPr>
        <w:spacing w:line="360" w:lineRule="auto"/>
        <w:ind w:firstLine="480" w:firstLineChars="200"/>
        <w:rPr>
          <w:rFonts w:ascii="宋体" w:hAnsi="宋体" w:cs="宋体"/>
          <w:sz w:val="24"/>
          <w:szCs w:val="24"/>
        </w:rPr>
      </w:pPr>
      <w:r>
        <w:rPr>
          <w:rFonts w:hint="eastAsia" w:ascii="宋体" w:hAnsi="宋体" w:cs="宋体"/>
          <w:sz w:val="24"/>
          <w:szCs w:val="24"/>
        </w:rPr>
        <w:t>采购人（名称或部门）：常州市天宁区青龙街道常青股份经济合作社</w:t>
      </w:r>
    </w:p>
    <w:p>
      <w:pPr>
        <w:spacing w:line="360" w:lineRule="auto"/>
        <w:ind w:firstLine="480" w:firstLineChars="200"/>
        <w:rPr>
          <w:rFonts w:ascii="宋体" w:hAnsi="宋体" w:cs="宋体"/>
          <w:sz w:val="24"/>
          <w:szCs w:val="24"/>
        </w:rPr>
      </w:pPr>
      <w:r>
        <w:rPr>
          <w:rFonts w:hint="eastAsia" w:ascii="宋体" w:hAnsi="宋体" w:cs="宋体"/>
          <w:sz w:val="24"/>
          <w:szCs w:val="24"/>
        </w:rPr>
        <w:t>采购人地址：</w:t>
      </w:r>
      <w:r>
        <w:rPr>
          <w:rFonts w:ascii="宋体" w:hAnsi="宋体" w:cs="宋体"/>
          <w:sz w:val="24"/>
          <w:szCs w:val="24"/>
        </w:rPr>
        <w:t xml:space="preserve"> </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采购人联系人：</w:t>
      </w:r>
      <w:r>
        <w:rPr>
          <w:rFonts w:ascii="宋体" w:hAnsi="宋体" w:cs="宋体"/>
          <w:sz w:val="24"/>
          <w:szCs w:val="24"/>
        </w:rPr>
        <w:t xml:space="preserve"> </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联系电话：</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代理购机构：江苏畅誉项目管理有限公司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采购文件相关联系人：陈樱</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联系电话：</w:t>
      </w:r>
      <w:r>
        <w:rPr>
          <w:rFonts w:ascii="宋体" w:hAnsi="宋体" w:cs="宋体"/>
          <w:sz w:val="24"/>
          <w:szCs w:val="24"/>
        </w:rPr>
        <w:t>15061992993</w:t>
      </w:r>
    </w:p>
    <w:p>
      <w:pPr>
        <w:spacing w:line="360" w:lineRule="auto"/>
        <w:ind w:firstLine="480" w:firstLineChars="200"/>
        <w:rPr>
          <w:rFonts w:ascii="宋体" w:hAnsi="宋体" w:cs="宋体"/>
          <w:sz w:val="24"/>
          <w:szCs w:val="24"/>
        </w:rPr>
      </w:pPr>
      <w:r>
        <w:rPr>
          <w:rFonts w:hint="eastAsia" w:ascii="宋体" w:hAnsi="宋体" w:cs="宋体"/>
          <w:sz w:val="24"/>
          <w:szCs w:val="24"/>
        </w:rPr>
        <w:t>联系邮箱：1</w:t>
      </w:r>
      <w:r>
        <w:rPr>
          <w:rFonts w:ascii="宋体" w:hAnsi="宋体" w:cs="宋体"/>
          <w:sz w:val="24"/>
          <w:szCs w:val="24"/>
        </w:rPr>
        <w:t>158983489 @qq.com</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联系地址：常州市天宁区弘智路7号B座3楼</w:t>
      </w:r>
    </w:p>
    <w:p>
      <w:pPr>
        <w:pStyle w:val="4"/>
        <w:keepNext w:val="0"/>
        <w:snapToGrid w:val="0"/>
        <w:ind w:left="0" w:firstLine="0"/>
        <w:rPr>
          <w:rFonts w:ascii="宋体" w:hAnsi="宋体" w:eastAsia="宋体"/>
          <w:sz w:val="36"/>
          <w:szCs w:val="36"/>
        </w:rPr>
      </w:pPr>
      <w:r>
        <w:rPr>
          <w:rFonts w:hint="eastAsia" w:ascii="黑体" w:hAnsi="黑体" w:cs="黑体"/>
          <w:b w:val="0"/>
          <w:bCs/>
          <w:sz w:val="36"/>
          <w:szCs w:val="36"/>
        </w:rPr>
        <w:t>第六章 格式附表</w:t>
      </w:r>
      <w:bookmarkEnd w:id="20"/>
      <w:bookmarkEnd w:id="21"/>
      <w:bookmarkEnd w:id="22"/>
      <w:bookmarkEnd w:id="23"/>
      <w:bookmarkEnd w:id="24"/>
    </w:p>
    <w:p>
      <w:pPr>
        <w:snapToGrid w:val="0"/>
        <w:jc w:val="center"/>
        <w:rPr>
          <w:rFonts w:ascii="宋体" w:hAnsi="宋体"/>
          <w:b/>
          <w:sz w:val="28"/>
          <w:szCs w:val="28"/>
        </w:rPr>
      </w:pPr>
    </w:p>
    <w:p>
      <w:pPr>
        <w:snapToGrid w:val="0"/>
        <w:jc w:val="center"/>
        <w:rPr>
          <w:rFonts w:ascii="宋体" w:hAnsi="宋体"/>
          <w:b/>
          <w:sz w:val="32"/>
          <w:szCs w:val="32"/>
        </w:rPr>
      </w:pPr>
      <w:r>
        <w:rPr>
          <w:rFonts w:hint="eastAsia" w:ascii="宋体" w:hAnsi="宋体"/>
          <w:b/>
          <w:sz w:val="32"/>
          <w:szCs w:val="32"/>
        </w:rPr>
        <w:t>政府采购告知书</w:t>
      </w:r>
    </w:p>
    <w:p>
      <w:pPr>
        <w:snapToGrid w:val="0"/>
        <w:spacing w:line="560" w:lineRule="exact"/>
        <w:rPr>
          <w:rFonts w:ascii="宋体" w:hAnsi="宋体" w:cs="宋体"/>
          <w:sz w:val="24"/>
          <w:szCs w:val="24"/>
        </w:rPr>
      </w:pPr>
      <w:r>
        <w:rPr>
          <w:rFonts w:hint="eastAsia" w:ascii="宋体" w:hAnsi="宋体" w:cs="宋体"/>
          <w:sz w:val="24"/>
          <w:szCs w:val="24"/>
        </w:rPr>
        <w:t>尊敬的供应商项目参与人：</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为营造公开、公正的市场环境，确保政府采购工作规范有序开展，特将有关事项告知如下：</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根据《常州市政府采购供应商信用管理暂行办法》规定，供应商及项目参与人有下列情形之一的，属于失信行为，由采购中心报告财政部门，财政部门调查核实后依法给予行政处罚或者予以失信记录，情节严重的一至三年内不得参与政府采购活动，并在相关媒体网站予以公布：</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（一）响应文件中提供虚假材料或虚假承诺谋取中标、成交的;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（二）采取不正当手段诋毁、排挤其他供应商的;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（三）与采购人、其他供应商或者采购代理机构恶意串通的;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（四）向采购人、采购代理机构及评审小组成员行贿或提供其他不正当利益的;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（五）在采购过程中与采购人进行协商谈判的；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六</w:t>
      </w:r>
      <w:r>
        <w:rPr>
          <w:rFonts w:hint="eastAsia" w:ascii="宋体" w:hAnsi="宋体" w:cs="宋体"/>
          <w:sz w:val="24"/>
          <w:szCs w:val="24"/>
        </w:rPr>
        <w:t>）评审阶段资格发生变化，供应商未依照《政府采购法实施条例》第二十一条的规定通知采购人和采购代理机构的；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七</w:t>
      </w:r>
      <w:r>
        <w:rPr>
          <w:rFonts w:hint="eastAsia" w:ascii="宋体" w:hAnsi="宋体" w:cs="宋体"/>
          <w:sz w:val="24"/>
          <w:szCs w:val="24"/>
        </w:rPr>
        <w:t>）响应文件中故意不按采购文件要求提供有关技术、财务状况、信誉、业绩、服务、资质及其他证明材料，或未携带上述扫描件或复印件加盖公章。</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八</w:t>
      </w:r>
      <w:r>
        <w:rPr>
          <w:rFonts w:hint="eastAsia" w:ascii="宋体" w:hAnsi="宋体" w:cs="宋体"/>
          <w:sz w:val="24"/>
          <w:szCs w:val="24"/>
        </w:rPr>
        <w:t xml:space="preserve">）已响应参加政府采购活动而无故不参加的，或者在有效期内擅自撤销投标（响应文件），影响采购活动继续进行的;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（十）被确定为中标或成交候选供应商后无正当理由放弃中标或成交资格;中标、成交后无正当理由不签订政府采购合同的;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（十一）不按照采购文件规定签订合同，或者与采购人另行签订背离合同实质性内容协议的;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（十二）将中标、成交项目转让给他人，或者违反采购文件规定，将中标、成交项目分包给他人的;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（十三）不遵守开标现场纪律,扰乱评审现场的;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（十四）拒绝履行合同义务的，或者未按合同规定履行合同义务，造成不良后果的；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（十五）擅自变更、解除合同的;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（十六）实物配发和定点采购供应商所提供产品或服务价格高于成交价格或承诺的;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（十七）拒绝有关部门监督检查或者提供虚假情况的。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（十八）各级政府采购监管部门认定的其他失信行为。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（十九）在常州市域内一年内两次以上质疑、投诉和信访举报均查无实据的;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（二十）捏造事实或提供虚假质疑、投诉和信访举报材料的。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（二十一）不配合相关部门调查取证的。</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供应商有上述第（一）至（</w:t>
      </w:r>
      <w:r>
        <w:rPr>
          <w:rFonts w:ascii="宋体" w:hAnsi="宋体" w:cs="宋体"/>
          <w:sz w:val="24"/>
          <w:szCs w:val="24"/>
        </w:rPr>
        <w:t>六</w:t>
      </w:r>
      <w:r>
        <w:rPr>
          <w:rFonts w:hint="eastAsia" w:ascii="宋体" w:hAnsi="宋体" w:cs="宋体"/>
          <w:sz w:val="24"/>
          <w:szCs w:val="24"/>
        </w:rPr>
        <w:t>）项情形的，中标、成交无效。</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联系人办公室：江苏畅誉项目管理有限公司</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投诉监督电话：18661187899 </w:t>
      </w: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pStyle w:val="27"/>
        <w:jc w:val="both"/>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r>
        <w:rPr>
          <w:rFonts w:hint="eastAsia" w:ascii="宋体" w:hAnsi="宋体" w:eastAsia="宋体"/>
          <w:b/>
          <w:snapToGrid w:val="0"/>
          <w:color w:val="auto"/>
          <w:sz w:val="32"/>
          <w:szCs w:val="32"/>
        </w:rPr>
        <w:t>政府采购供应商信用承诺书</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为维护公开、公平、公正的政府采购市场秩序，树立诚实守信的供应商形象，本单位在参与政府采购活动中,自愿作出以下承诺：</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一、严格遵守国家法律、法规和规章，全面履行应尽的责任和义务，全面做到履约守信，具备《政府采购法》第二十二条第一款规定的条件。</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二、本单位已经阅读并充分理解《常州市政府采购供应商信用管理暂行办法》，自愿按照《常州市政府采购供应商信用管理暂行办法》规定，发生失信行为将记录并公开到“信用常州”、常州市政府采购网。</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三、本单位提供给注册登记部门、行业管理部门、司法部门、行业组织以及在政府采购活动中提交的所有资料均合法、真实、有效，无任何伪造、修改、虚假成份，并对所提供资料的真实性负责。</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四、严格依法开展生产经营活动，主动接受行业监管，自愿接受依法开展的日常检查；违法失信经营后将自愿接受约束和惩戒，并依法承担相应责任。</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五、承诺本单位自觉接受行政管理部门、行业组织、社会公众、新闻舆论的监督。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六、承诺本单位自我约束、自我管理，重合同、守信用，不制假售假、商标侵权、虚假宣传、违约毁约、恶意逃债、偷税漏税、价格欺诈、垄断和不正当竞争，维护经营者、消费者的合法权益。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七、承诺本单位在信用中国（江苏）网站中无违法违规、较重或严重失信记录。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八、承诺本单位提出政府采购质疑和投诉坚持依法依规、诚实信用原则。</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九、根据政府采购相关法律法规的规定需要作出的其他承诺。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十、承诺本单位若违背承诺约定，经查实，愿意接受行业主管部门和信用管理部门相应的规定处罚，承担违约责任，并依法承担相应的法律责任。</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十一、承诺本单位同意将以上承诺事项上网公示，违背承诺约定行为将作为失信信息，记录到常州市公共信用信息系统，并予以公开。</w:t>
      </w:r>
    </w:p>
    <w:p>
      <w:pPr>
        <w:pStyle w:val="28"/>
        <w:spacing w:line="400" w:lineRule="exact"/>
        <w:ind w:right="1050" w:rightChars="500" w:firstLine="2880" w:firstLineChars="1200"/>
        <w:jc w:val="both"/>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承诺单位（盖章）：</w:t>
      </w: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400" w:firstLineChars="100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法定代表人（负责人）：</w:t>
      </w: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附件一：</w:t>
      </w:r>
    </w:p>
    <w:p>
      <w:pPr>
        <w:spacing w:line="360" w:lineRule="auto"/>
        <w:jc w:val="center"/>
        <w:rPr>
          <w:rFonts w:ascii="宋体" w:hAnsi="宋体"/>
          <w:b/>
          <w:sz w:val="32"/>
          <w:szCs w:val="32"/>
        </w:rPr>
      </w:pPr>
      <w:r>
        <w:rPr>
          <w:rFonts w:hint="eastAsia" w:ascii="宋体" w:hAnsi="宋体"/>
          <w:b/>
          <w:sz w:val="32"/>
          <w:szCs w:val="32"/>
        </w:rPr>
        <w:t>投</w:t>
      </w:r>
      <w:r>
        <w:rPr>
          <w:rFonts w:ascii="宋体" w:hAnsi="宋体"/>
          <w:b/>
          <w:sz w:val="32"/>
          <w:szCs w:val="32"/>
        </w:rPr>
        <w:t xml:space="preserve">    </w:t>
      </w:r>
      <w:r>
        <w:rPr>
          <w:rFonts w:hint="eastAsia" w:ascii="宋体" w:hAnsi="宋体"/>
          <w:b/>
          <w:sz w:val="32"/>
          <w:szCs w:val="32"/>
        </w:rPr>
        <w:t>标</w:t>
      </w:r>
      <w:r>
        <w:rPr>
          <w:rFonts w:ascii="宋体" w:hAnsi="宋体"/>
          <w:b/>
          <w:sz w:val="32"/>
          <w:szCs w:val="32"/>
        </w:rPr>
        <w:t xml:space="preserve">    </w:t>
      </w:r>
      <w:r>
        <w:rPr>
          <w:rFonts w:hint="eastAsia" w:ascii="宋体" w:hAnsi="宋体"/>
          <w:b/>
          <w:sz w:val="32"/>
          <w:szCs w:val="32"/>
        </w:rPr>
        <w:t>函</w:t>
      </w:r>
    </w:p>
    <w:p>
      <w:pPr>
        <w:spacing w:line="360" w:lineRule="auto"/>
        <w:rPr>
          <w:rFonts w:ascii="宋体" w:hAnsi="宋体"/>
          <w:sz w:val="24"/>
          <w:szCs w:val="24"/>
        </w:rPr>
      </w:pPr>
      <w:r>
        <w:rPr>
          <w:rFonts w:hint="eastAsia" w:ascii="宋体" w:hAnsi="宋体"/>
          <w:sz w:val="24"/>
          <w:szCs w:val="24"/>
        </w:rPr>
        <w:t>致：常州市天宁区青龙街道勤业村股份经济合作社 、江苏畅誉项目管理有限公司</w:t>
      </w:r>
    </w:p>
    <w:p>
      <w:pPr>
        <w:snapToGrid w:val="0"/>
        <w:spacing w:line="360" w:lineRule="auto"/>
        <w:ind w:firstLine="480" w:firstLineChars="200"/>
        <w:rPr>
          <w:rFonts w:ascii="宋体" w:hAnsi="宋体" w:cs="宋体"/>
          <w:b/>
          <w:bCs/>
          <w:spacing w:val="2"/>
          <w:sz w:val="24"/>
          <w:szCs w:val="24"/>
        </w:rPr>
      </w:pPr>
      <w:r>
        <w:rPr>
          <w:rFonts w:hint="eastAsia" w:hAnsi="宋体"/>
          <w:sz w:val="24"/>
          <w:szCs w:val="24"/>
        </w:rPr>
        <w:t>我单位收到贵单位</w:t>
      </w:r>
      <w:r>
        <w:rPr>
          <w:rFonts w:hint="eastAsia"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hAnsi="宋体"/>
          <w:sz w:val="24"/>
          <w:szCs w:val="24"/>
          <w:u w:val="single"/>
        </w:rPr>
        <w:t>”</w:t>
      </w:r>
      <w:r>
        <w:rPr>
          <w:rFonts w:hint="eastAsia" w:hAnsi="宋体"/>
          <w:sz w:val="24"/>
          <w:szCs w:val="24"/>
        </w:rPr>
        <w:t>招标文件后，经详细研究，我们决定参加该项目招标活动并投标。为此，我方郑重声明以下诸点，并负法律责任。</w:t>
      </w:r>
    </w:p>
    <w:p>
      <w:pPr>
        <w:pStyle w:val="29"/>
        <w:spacing w:line="360" w:lineRule="auto"/>
        <w:ind w:firstLine="480" w:firstLineChars="200"/>
        <w:jc w:val="left"/>
        <w:rPr>
          <w:rFonts w:hint="default" w:ascii="Calibri" w:hAnsi="宋体"/>
          <w:kern w:val="2"/>
          <w:sz w:val="24"/>
          <w:szCs w:val="24"/>
        </w:rPr>
      </w:pPr>
      <w:r>
        <w:rPr>
          <w:rFonts w:ascii="Calibri" w:hAnsi="宋体"/>
          <w:kern w:val="2"/>
          <w:sz w:val="24"/>
          <w:szCs w:val="24"/>
        </w:rPr>
        <w:t>1、我单位愿意遵守贵单位有关招标的各项规定，提供招标文件中要求的所有资料，并保证完全真实准确，若有虚假和违背，我单位愿意承担由此而产生的一切后果。</w:t>
      </w:r>
    </w:p>
    <w:p>
      <w:pPr>
        <w:pStyle w:val="13"/>
        <w:spacing w:line="360" w:lineRule="auto"/>
        <w:ind w:firstLine="480" w:firstLineChars="200"/>
        <w:rPr>
          <w:rFonts w:hAnsi="宋体"/>
          <w:sz w:val="24"/>
          <w:szCs w:val="24"/>
        </w:rPr>
      </w:pPr>
      <w:r>
        <w:rPr>
          <w:rFonts w:hint="eastAsia" w:hAnsi="宋体"/>
          <w:sz w:val="24"/>
          <w:szCs w:val="24"/>
        </w:rPr>
        <w:t>2、我方承诺财务状况良好，依法缴纳税收和社会保障资金，具备履行合同所必需的设备和专业技术能力，参加政府采购活动前3年内在经营活动中没有重大违法记录。</w:t>
      </w:r>
    </w:p>
    <w:p>
      <w:pPr>
        <w:pStyle w:val="13"/>
        <w:spacing w:line="360" w:lineRule="auto"/>
        <w:ind w:firstLine="480" w:firstLineChars="200"/>
        <w:rPr>
          <w:rFonts w:hAnsi="宋体"/>
          <w:sz w:val="24"/>
          <w:szCs w:val="24"/>
        </w:rPr>
      </w:pPr>
      <w:r>
        <w:rPr>
          <w:rFonts w:hint="eastAsia" w:hAnsi="宋体"/>
          <w:sz w:val="24"/>
          <w:szCs w:val="24"/>
        </w:rPr>
        <w:t>3、我方承诺该投标文件在公开招标的全过程中保持有效，不作任何更改和变动。</w:t>
      </w:r>
    </w:p>
    <w:p>
      <w:pPr>
        <w:pStyle w:val="13"/>
        <w:spacing w:line="360" w:lineRule="auto"/>
        <w:ind w:firstLine="480" w:firstLineChars="200"/>
        <w:rPr>
          <w:rFonts w:hAnsi="宋体"/>
          <w:sz w:val="24"/>
          <w:szCs w:val="24"/>
        </w:rPr>
      </w:pPr>
      <w:r>
        <w:rPr>
          <w:rFonts w:hint="eastAsia" w:hAnsi="宋体"/>
          <w:sz w:val="24"/>
          <w:szCs w:val="24"/>
        </w:rPr>
        <w:t>4、我们愿按《中华人民共和国</w:t>
      </w:r>
      <w:r>
        <w:rPr>
          <w:rFonts w:hint="eastAsia" w:hAnsi="宋体"/>
          <w:sz w:val="24"/>
          <w:szCs w:val="24"/>
          <w:lang w:val="en-US" w:eastAsia="zh-CN"/>
        </w:rPr>
        <w:t>民法典</w:t>
      </w:r>
      <w:r>
        <w:rPr>
          <w:rFonts w:hint="eastAsia" w:hAnsi="宋体"/>
          <w:sz w:val="24"/>
          <w:szCs w:val="24"/>
        </w:rPr>
        <w:t>》履行自己的全部责任。</w:t>
      </w:r>
    </w:p>
    <w:p>
      <w:pPr>
        <w:pStyle w:val="13"/>
        <w:spacing w:line="360" w:lineRule="auto"/>
        <w:ind w:firstLine="480" w:firstLineChars="200"/>
        <w:rPr>
          <w:rFonts w:hAnsi="宋体"/>
          <w:sz w:val="24"/>
          <w:szCs w:val="24"/>
        </w:rPr>
      </w:pPr>
      <w:r>
        <w:rPr>
          <w:rFonts w:hAnsi="宋体"/>
          <w:sz w:val="24"/>
          <w:szCs w:val="24"/>
        </w:rPr>
        <w:t>5</w:t>
      </w:r>
      <w:r>
        <w:rPr>
          <w:rFonts w:hint="eastAsia" w:hAnsi="宋体"/>
          <w:sz w:val="24"/>
          <w:szCs w:val="24"/>
        </w:rPr>
        <w:t>、愿意提供招标文件中要求所有资料，并保证完全真实准确，若有虚假和违背，我公司愿意承担由此而产生的一切后果。</w:t>
      </w:r>
    </w:p>
    <w:p>
      <w:pPr>
        <w:pStyle w:val="13"/>
        <w:spacing w:line="360" w:lineRule="auto"/>
        <w:ind w:firstLine="480" w:firstLineChars="200"/>
        <w:rPr>
          <w:rFonts w:hAnsi="宋体"/>
          <w:sz w:val="24"/>
          <w:szCs w:val="24"/>
        </w:rPr>
      </w:pPr>
      <w:r>
        <w:rPr>
          <w:rFonts w:hAnsi="宋体"/>
          <w:sz w:val="24"/>
          <w:szCs w:val="24"/>
        </w:rPr>
        <w:t>6</w:t>
      </w:r>
      <w:r>
        <w:rPr>
          <w:rFonts w:hint="eastAsia" w:hAnsi="宋体"/>
          <w:sz w:val="24"/>
          <w:szCs w:val="24"/>
        </w:rPr>
        <w:t>、我单位认为招标人有权决定中标者，还认为政府采购最低投标价是中标的主要条件，但不是唯一的中标条件。</w:t>
      </w:r>
    </w:p>
    <w:p>
      <w:pPr>
        <w:pStyle w:val="18"/>
        <w:adjustRightInd w:val="0"/>
        <w:snapToGrid w:val="0"/>
        <w:spacing w:line="360" w:lineRule="auto"/>
        <w:ind w:firstLine="480" w:firstLineChars="200"/>
        <w:textAlignment w:val="baseline"/>
        <w:rPr>
          <w:rFonts w:asciiTheme="minorEastAsia" w:hAnsiTheme="minorEastAsia" w:eastAsiaTheme="minorEastAsia" w:cstheme="minorEastAsia"/>
        </w:rPr>
      </w:pPr>
      <w:r>
        <w:rPr>
          <w:rFonts w:hint="eastAsia" w:hAnsi="宋体"/>
          <w:szCs w:val="24"/>
        </w:rPr>
        <w:t>7、</w:t>
      </w:r>
      <w:r>
        <w:rPr>
          <w:rFonts w:hint="eastAsia" w:asciiTheme="minorEastAsia" w:hAnsiTheme="minorEastAsia" w:eastAsiaTheme="minorEastAsia" w:cstheme="minorEastAsia"/>
        </w:rPr>
        <w:t>我单位承诺本次“</w:t>
      </w:r>
      <w:r>
        <w:rPr>
          <w:rFonts w:hint="eastAsia" w:asciiTheme="minorEastAsia" w:hAnsiTheme="minorEastAsia" w:eastAsiaTheme="minorEastAsia" w:cstheme="minorEastAsia"/>
          <w:u w:val="single"/>
        </w:rPr>
        <w:t xml:space="preserve">     </w:t>
      </w:r>
      <w:r>
        <w:rPr>
          <w:rFonts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号</w:t>
      </w:r>
      <w:r>
        <w:rPr>
          <w:rFonts w:asciiTheme="minorEastAsia" w:hAnsiTheme="minorEastAsia" w:eastAsiaTheme="minorEastAsia" w:cstheme="minorEastAsia"/>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(项目名称），施工期限为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天；质保</w:t>
      </w:r>
      <w:r>
        <w:rPr>
          <w:rFonts w:hint="eastAsia" w:asciiTheme="minorEastAsia" w:hAnsiTheme="minorEastAsia" w:eastAsiaTheme="minorEastAsia" w:cstheme="minorEastAsia"/>
          <w:u w:val="single"/>
        </w:rPr>
        <w:t xml:space="preserve">       年</w:t>
      </w:r>
      <w:r>
        <w:rPr>
          <w:rFonts w:hint="eastAsia" w:asciiTheme="minorEastAsia" w:hAnsiTheme="minorEastAsia" w:eastAsiaTheme="minorEastAsia" w:cstheme="minorEastAsia"/>
        </w:rPr>
        <w:t xml:space="preserve">。 </w:t>
      </w:r>
    </w:p>
    <w:p>
      <w:pPr>
        <w:spacing w:line="360" w:lineRule="auto"/>
        <w:ind w:firstLine="480" w:firstLineChars="200"/>
        <w:rPr>
          <w:rFonts w:ascii="宋体" w:hAnsi="宋体"/>
          <w:sz w:val="24"/>
          <w:szCs w:val="24"/>
        </w:rPr>
      </w:pPr>
      <w:r>
        <w:rPr>
          <w:rFonts w:hint="eastAsia" w:ascii="宋体" w:hAnsi="宋体"/>
          <w:sz w:val="24"/>
          <w:szCs w:val="24"/>
        </w:rPr>
        <w:t>8、与本投标有关的正式通讯地址为：</w:t>
      </w:r>
    </w:p>
    <w:p>
      <w:pPr>
        <w:spacing w:line="360" w:lineRule="auto"/>
        <w:ind w:left="420" w:leftChars="200"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ascii="宋体" w:hAnsi="宋体"/>
          <w:sz w:val="24"/>
          <w:szCs w:val="24"/>
        </w:rPr>
        <w:t xml:space="preserve">                  </w:t>
      </w:r>
    </w:p>
    <w:p>
      <w:pPr>
        <w:spacing w:line="360" w:lineRule="auto"/>
        <w:ind w:left="420" w:leftChars="200"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ascii="宋体" w:hAnsi="宋体"/>
          <w:sz w:val="24"/>
          <w:szCs w:val="24"/>
        </w:rPr>
        <w:t xml:space="preserve">                  </w:t>
      </w:r>
    </w:p>
    <w:p>
      <w:pPr>
        <w:spacing w:line="360" w:lineRule="auto"/>
        <w:ind w:left="420" w:leftChars="200"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r>
        <w:rPr>
          <w:rFonts w:ascii="宋体" w:hAnsi="宋体"/>
          <w:sz w:val="24"/>
          <w:szCs w:val="24"/>
        </w:rPr>
        <w:t xml:space="preserve">                  </w:t>
      </w:r>
    </w:p>
    <w:p>
      <w:pPr>
        <w:spacing w:line="360" w:lineRule="auto"/>
        <w:ind w:left="420" w:leftChars="200" w:firstLine="480" w:firstLineChars="200"/>
        <w:rPr>
          <w:rFonts w:ascii="宋体" w:hAnsi="宋体"/>
          <w:sz w:val="28"/>
          <w:szCs w:val="28"/>
        </w:rPr>
      </w:pPr>
      <w:r>
        <w:rPr>
          <w:rFonts w:hint="eastAsia" w:ascii="宋体" w:hAnsi="宋体"/>
          <w:sz w:val="24"/>
          <w:szCs w:val="24"/>
        </w:rPr>
        <w:t>投标人法定代表人或代理人（签字或盖章）：</w:t>
      </w:r>
      <w:r>
        <w:rPr>
          <w:rFonts w:ascii="宋体" w:hAnsi="宋体"/>
          <w:sz w:val="28"/>
          <w:szCs w:val="28"/>
        </w:rPr>
        <w:t xml:space="preserve">   </w:t>
      </w: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Cs w:val="21"/>
        </w:rPr>
      </w:pPr>
      <w:r>
        <w:rPr>
          <w:rFonts w:hint="eastAsia" w:ascii="宋体" w:hAnsi="宋体"/>
          <w:b/>
          <w:sz w:val="24"/>
        </w:rPr>
        <w:t>附件二：</w:t>
      </w:r>
    </w:p>
    <w:p>
      <w:pPr>
        <w:spacing w:line="360" w:lineRule="auto"/>
        <w:jc w:val="center"/>
        <w:rPr>
          <w:rFonts w:ascii="宋体" w:hAnsi="宋体"/>
          <w:b/>
          <w:sz w:val="32"/>
          <w:szCs w:val="32"/>
        </w:rPr>
      </w:pPr>
      <w:r>
        <w:rPr>
          <w:rFonts w:hint="eastAsia" w:ascii="宋体" w:hAnsi="宋体"/>
          <w:b/>
          <w:sz w:val="32"/>
          <w:szCs w:val="32"/>
        </w:rPr>
        <w:t>法定代表人资格证明书</w:t>
      </w:r>
    </w:p>
    <w:p>
      <w:pPr>
        <w:spacing w:line="360" w:lineRule="auto"/>
        <w:rPr>
          <w:rFonts w:ascii="宋体" w:hAnsi="宋体"/>
          <w:sz w:val="24"/>
          <w:szCs w:val="24"/>
        </w:rPr>
      </w:pPr>
      <w:bookmarkStart w:id="110" w:name="_Hlk77948471"/>
      <w:r>
        <w:rPr>
          <w:rFonts w:hint="eastAsia" w:ascii="宋体" w:hAnsi="宋体"/>
          <w:sz w:val="24"/>
          <w:szCs w:val="24"/>
        </w:rPr>
        <w:t>单位名称</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地址</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姓名</w:t>
      </w:r>
      <w:r>
        <w:rPr>
          <w:rFonts w:ascii="宋体" w:hAnsi="宋体"/>
          <w:sz w:val="24"/>
          <w:szCs w:val="24"/>
        </w:rPr>
        <w:t>:     </w:t>
      </w:r>
      <w:r>
        <w:rPr>
          <w:rFonts w:hint="eastAsia" w:ascii="宋体" w:hAnsi="宋体"/>
          <w:sz w:val="24"/>
          <w:szCs w:val="24"/>
        </w:rPr>
        <w:t>性别</w:t>
      </w:r>
      <w:r>
        <w:rPr>
          <w:rFonts w:ascii="宋体" w:hAnsi="宋体"/>
          <w:sz w:val="24"/>
          <w:szCs w:val="24"/>
        </w:rPr>
        <w:t>:       </w:t>
      </w:r>
      <w:r>
        <w:rPr>
          <w:rFonts w:hint="eastAsia" w:ascii="宋体" w:hAnsi="宋体"/>
          <w:sz w:val="24"/>
          <w:szCs w:val="24"/>
        </w:rPr>
        <w:t>年龄</w:t>
      </w:r>
      <w:r>
        <w:rPr>
          <w:rFonts w:ascii="宋体" w:hAnsi="宋体"/>
          <w:sz w:val="24"/>
          <w:szCs w:val="24"/>
        </w:rPr>
        <w:t>:      </w:t>
      </w:r>
      <w:r>
        <w:rPr>
          <w:rFonts w:hint="eastAsia" w:ascii="宋体" w:hAnsi="宋体"/>
          <w:sz w:val="24"/>
          <w:szCs w:val="24"/>
        </w:rPr>
        <w:t>职务</w:t>
      </w:r>
      <w:r>
        <w:rPr>
          <w:rFonts w:ascii="宋体" w:hAnsi="宋体"/>
          <w:sz w:val="24"/>
          <w:szCs w:val="24"/>
        </w:rPr>
        <w:t>:</w:t>
      </w:r>
    </w:p>
    <w:p>
      <w:pPr>
        <w:snapToGrid w:val="0"/>
        <w:spacing w:line="360" w:lineRule="auto"/>
        <w:rPr>
          <w:rFonts w:ascii="宋体" w:hAnsi="宋体"/>
          <w:sz w:val="24"/>
          <w:szCs w:val="24"/>
        </w:rPr>
      </w:pPr>
      <w:r>
        <w:rPr>
          <w:rFonts w:hint="eastAsia" w:ascii="宋体" w:hAnsi="宋体"/>
          <w:sz w:val="24"/>
          <w:szCs w:val="24"/>
        </w:rPr>
        <w:t>系</w:t>
      </w:r>
      <w:r>
        <w:rPr>
          <w:rFonts w:ascii="宋体" w:hAnsi="宋体"/>
          <w:sz w:val="24"/>
          <w:szCs w:val="24"/>
          <w:u w:val="single"/>
        </w:rPr>
        <w:t xml:space="preserve">                    </w:t>
      </w:r>
      <w:r>
        <w:rPr>
          <w:rFonts w:ascii="宋体" w:hAnsi="宋体"/>
          <w:sz w:val="24"/>
          <w:szCs w:val="24"/>
        </w:rPr>
        <w:t> </w:t>
      </w:r>
      <w:r>
        <w:rPr>
          <w:rFonts w:hint="eastAsia" w:ascii="宋体" w:hAnsi="宋体"/>
          <w:sz w:val="24"/>
          <w:szCs w:val="24"/>
        </w:rPr>
        <w:t>的法定代表人。为实施</w:t>
      </w:r>
      <w:r>
        <w:rPr>
          <w:rFonts w:hint="eastAsia" w:ascii="宋体" w:hAnsi="宋体"/>
          <w:sz w:val="24"/>
          <w:szCs w:val="24"/>
          <w:u w:val="single"/>
        </w:rPr>
        <w:t xml:space="preserve">           号</w:t>
      </w:r>
      <w:r>
        <w:rPr>
          <w:rFonts w:hint="eastAsia" w:ascii="宋体" w:hAnsi="宋体"/>
          <w:sz w:val="24"/>
          <w:szCs w:val="24"/>
        </w:rPr>
        <w:t>的工作，签署上述项目的投标文件、进行合同谈判、签署合同和处理与之有关的一切事务。</w:t>
      </w:r>
    </w:p>
    <w:p>
      <w:pPr>
        <w:spacing w:line="360" w:lineRule="auto"/>
        <w:rPr>
          <w:rFonts w:ascii="宋体" w:hAnsi="宋体"/>
          <w:sz w:val="24"/>
          <w:szCs w:val="24"/>
        </w:rPr>
      </w:pPr>
      <w:r>
        <w:rPr>
          <w:rFonts w:hint="eastAsia" w:ascii="宋体" w:hAnsi="宋体"/>
          <w:sz w:val="24"/>
          <w:szCs w:val="24"/>
        </w:rPr>
        <w:t>特此证明。</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投标人：（公章）</w:t>
      </w:r>
    </w:p>
    <w:p>
      <w:pPr>
        <w:spacing w:line="560" w:lineRule="exact"/>
        <w:rPr>
          <w:rFonts w:ascii="宋体" w:hAnsi="宋体"/>
          <w:sz w:val="24"/>
          <w:szCs w:val="24"/>
        </w:rPr>
      </w:pPr>
      <w:r>
        <w:rPr>
          <w:rFonts w:hint="eastAsia" w:ascii="宋体" w:hAnsi="宋体"/>
          <w:sz w:val="24"/>
          <w:szCs w:val="24"/>
        </w:rPr>
        <w:t>法定代表人签字或盖章：</w:t>
      </w:r>
    </w:p>
    <w:p>
      <w:pPr>
        <w:spacing w:line="560" w:lineRule="exact"/>
        <w:rPr>
          <w:rFonts w:ascii="宋体" w:hAns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bookmarkEnd w:id="110"/>
    <w:p>
      <w:pPr>
        <w:tabs>
          <w:tab w:val="left" w:pos="6045"/>
        </w:tabs>
        <w:snapToGrid w:val="0"/>
        <w:spacing w:line="560" w:lineRule="exact"/>
        <w:ind w:left="240" w:hanging="240" w:hangingChars="100"/>
        <w:rPr>
          <w:rFonts w:ascii="宋体" w:hAnsi="宋体"/>
          <w:sz w:val="24"/>
          <w:szCs w:val="24"/>
        </w:rPr>
      </w:pPr>
    </w:p>
    <w:p>
      <w:pPr>
        <w:snapToGrid w:val="0"/>
        <w:spacing w:line="560" w:lineRule="exact"/>
        <w:rPr>
          <w:rFonts w:ascii="宋体" w:hAnsi="宋体"/>
          <w:sz w:val="24"/>
          <w:szCs w:val="24"/>
        </w:rPr>
      </w:pPr>
      <w:r>
        <w:rPr>
          <w:rFonts w:hint="eastAsia" w:ascii="宋体" w:hAnsi="宋体" w:cs="宋体"/>
          <w:sz w:val="24"/>
          <w:szCs w:val="24"/>
        </w:rPr>
        <w:t> </w:t>
      </w:r>
    </w:p>
    <w:p>
      <w:pPr>
        <w:snapToGrid w:val="0"/>
        <w:spacing w:line="560" w:lineRule="exact"/>
        <w:rPr>
          <w:rFonts w:ascii="宋体" w:hAnsi="宋体"/>
          <w:sz w:val="24"/>
          <w:szCs w:val="24"/>
        </w:rPr>
      </w:pPr>
    </w:p>
    <w:p>
      <w:pPr>
        <w:snapToGrid w:val="0"/>
        <w:spacing w:line="560" w:lineRule="exact"/>
        <w:rPr>
          <w:rFonts w:ascii="宋体" w:hAnsi="宋体"/>
          <w:b/>
          <w:sz w:val="24"/>
          <w:szCs w:val="24"/>
        </w:rPr>
      </w:pPr>
    </w:p>
    <w:p>
      <w:pPr>
        <w:spacing w:line="560" w:lineRule="exact"/>
        <w:rPr>
          <w:rFonts w:ascii="宋体" w:hAnsi="宋体"/>
          <w:sz w:val="24"/>
          <w:szCs w:val="24"/>
        </w:rPr>
      </w:pPr>
      <w:r>
        <w:rPr>
          <w:rFonts w:hint="eastAsia" w:ascii="宋体" w:hAnsi="宋体"/>
          <w:sz w:val="24"/>
          <w:szCs w:val="24"/>
        </w:rPr>
        <w:t>法定代表人身份证</w:t>
      </w:r>
    </w:p>
    <w:p>
      <w:pPr>
        <w:spacing w:line="56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（彩色扫描件）粘贴处</w:t>
      </w:r>
    </w:p>
    <w:p>
      <w:pPr>
        <w:snapToGrid w:val="0"/>
        <w:spacing w:line="360" w:lineRule="auto"/>
        <w:rPr>
          <w:rFonts w:ascii="宋体" w:hAnsi="宋体"/>
          <w:b/>
          <w:sz w:val="24"/>
          <w:szCs w:val="24"/>
        </w:rPr>
      </w:pPr>
    </w:p>
    <w:p>
      <w:pPr>
        <w:snapToGrid w:val="0"/>
        <w:spacing w:line="360" w:lineRule="auto"/>
        <w:rPr>
          <w:rFonts w:ascii="宋体" w:hAnsi="宋体"/>
          <w:b/>
          <w:sz w:val="24"/>
          <w:szCs w:val="28"/>
        </w:rPr>
      </w:pPr>
    </w:p>
    <w:p>
      <w:pPr>
        <w:pStyle w:val="5"/>
        <w:snapToGrid w:val="0"/>
        <w:spacing w:line="360" w:lineRule="auto"/>
        <w:rPr>
          <w:rFonts w:ascii="宋体" w:hAnsi="宋体" w:eastAsia="宋体"/>
          <w:b/>
          <w:bCs/>
          <w:sz w:val="24"/>
        </w:rPr>
      </w:pPr>
      <w:r>
        <w:rPr>
          <w:rFonts w:ascii="宋体" w:hAnsi="宋体" w:eastAsia="宋体"/>
          <w:b/>
          <w:bCs/>
          <w:sz w:val="24"/>
        </w:rPr>
        <w:br w:type="page"/>
      </w:r>
      <w:r>
        <w:rPr>
          <w:rFonts w:hint="eastAsia" w:ascii="宋体" w:hAnsi="宋体" w:eastAsia="宋体"/>
          <w:b/>
          <w:sz w:val="24"/>
          <w:szCs w:val="24"/>
        </w:rPr>
        <w:t>附件三：</w:t>
      </w:r>
    </w:p>
    <w:p>
      <w:pPr>
        <w:spacing w:line="416" w:lineRule="auto"/>
        <w:jc w:val="center"/>
        <w:rPr>
          <w:rFonts w:ascii="宋体" w:hAnsi="宋体"/>
          <w:b/>
          <w:sz w:val="32"/>
          <w:szCs w:val="32"/>
        </w:rPr>
      </w:pPr>
      <w:bookmarkStart w:id="111" w:name="_Toc288738394"/>
      <w:bookmarkStart w:id="112" w:name="_Toc288738836"/>
      <w:r>
        <w:rPr>
          <w:rFonts w:hint="eastAsia" w:ascii="宋体" w:hAnsi="宋体"/>
          <w:b/>
          <w:sz w:val="32"/>
          <w:szCs w:val="32"/>
        </w:rPr>
        <w:t>授权委托书</w:t>
      </w:r>
    </w:p>
    <w:p>
      <w:pPr>
        <w:snapToGrid w:val="0"/>
        <w:spacing w:line="360" w:lineRule="auto"/>
        <w:ind w:firstLine="480" w:firstLineChars="200"/>
        <w:rPr>
          <w:rFonts w:ascii="宋体" w:hAnsi="宋体" w:cs="宋体"/>
          <w:b/>
          <w:bCs/>
          <w:spacing w:val="2"/>
          <w:sz w:val="24"/>
          <w:szCs w:val="24"/>
        </w:rPr>
      </w:pPr>
      <w:r>
        <w:rPr>
          <w:rFonts w:hint="eastAsia" w:ascii="宋体" w:hAnsi="宋体"/>
          <w:sz w:val="24"/>
        </w:rPr>
        <w:t>本授权委托书声明：</w:t>
      </w:r>
      <w:r>
        <w:rPr>
          <w:rFonts w:ascii="宋体" w:hAnsi="宋体"/>
          <w:sz w:val="24"/>
        </w:rPr>
        <w:t>___________________________</w:t>
      </w:r>
      <w:r>
        <w:rPr>
          <w:rFonts w:hint="eastAsia" w:ascii="宋体" w:hAnsi="宋体"/>
          <w:sz w:val="24"/>
        </w:rPr>
        <w:t>（投标人名称）的</w:t>
      </w:r>
      <w:r>
        <w:rPr>
          <w:rFonts w:ascii="宋体" w:hAnsi="宋体"/>
          <w:sz w:val="24"/>
        </w:rPr>
        <w:t>_______________________</w:t>
      </w:r>
      <w:r>
        <w:rPr>
          <w:rFonts w:hint="eastAsia" w:ascii="宋体" w:hAnsi="宋体"/>
          <w:sz w:val="24"/>
        </w:rPr>
        <w:t>（法定代表人姓名、职务）代表投标人授权</w:t>
      </w:r>
      <w:r>
        <w:rPr>
          <w:rFonts w:ascii="宋体" w:hAnsi="宋体"/>
          <w:sz w:val="24"/>
        </w:rPr>
        <w:t>____________________</w:t>
      </w:r>
      <w:r>
        <w:rPr>
          <w:rFonts w:hint="eastAsia" w:ascii="宋体" w:hAnsi="宋体"/>
          <w:sz w:val="24"/>
        </w:rPr>
        <w:t>（被授权人的姓名、职务）为</w:t>
      </w:r>
      <w:r>
        <w:rPr>
          <w:rFonts w:hint="eastAsia" w:ascii="宋体" w:hAnsi="宋体"/>
          <w:sz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lang w:val="zh-CN"/>
        </w:rPr>
        <w:t>号</w:t>
      </w:r>
      <w:r>
        <w:rPr>
          <w:rFonts w:hint="eastAsia" w:ascii="宋体" w:hAnsi="宋体"/>
          <w:sz w:val="24"/>
          <w:u w:val="single"/>
        </w:rPr>
        <w:t>）</w:t>
      </w:r>
      <w:r>
        <w:rPr>
          <w:rFonts w:hint="eastAsia" w:ascii="宋体" w:hAnsi="宋体"/>
          <w:sz w:val="24"/>
        </w:rPr>
        <w:t>项目投标的合法代理人，全权负责参加本次政府采购项目的投标、签订合约以及与之相关的各项工作。本投标人对代理人的</w:t>
      </w:r>
      <w:r>
        <w:rPr>
          <w:rFonts w:ascii="宋体" w:hAnsi="宋体"/>
          <w:sz w:val="24"/>
        </w:rPr>
        <w:t>所有</w:t>
      </w:r>
      <w:r>
        <w:rPr>
          <w:rFonts w:hint="eastAsia" w:ascii="宋体" w:hAnsi="宋体"/>
          <w:sz w:val="24"/>
        </w:rPr>
        <w:t>签字负全部责任。</w:t>
      </w:r>
    </w:p>
    <w:p>
      <w:pPr>
        <w:spacing w:line="360" w:lineRule="auto"/>
        <w:ind w:firstLine="480" w:firstLineChars="200"/>
        <w:rPr>
          <w:rFonts w:ascii="宋体" w:hAnsi="宋体"/>
          <w:sz w:val="24"/>
        </w:rPr>
      </w:pPr>
      <w:r>
        <w:rPr>
          <w:rFonts w:hint="eastAsia" w:ascii="宋体" w:hAnsi="宋体"/>
          <w:sz w:val="24"/>
        </w:rPr>
        <w:t>本授权书于</w:t>
      </w:r>
      <w:r>
        <w:rPr>
          <w:rFonts w:ascii="宋体" w:hAnsi="宋体"/>
          <w:sz w:val="24"/>
        </w:rPr>
        <w:t>__________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________</w:t>
      </w:r>
      <w:r>
        <w:rPr>
          <w:rFonts w:hint="eastAsia" w:ascii="宋体" w:hAnsi="宋体"/>
          <w:sz w:val="24"/>
        </w:rPr>
        <w:t>日签字生效，特此声明。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法定代表人签字或盖章：</w:t>
      </w:r>
      <w:r>
        <w:rPr>
          <w:rFonts w:ascii="宋体" w:hAnsi="宋体"/>
          <w:sz w:val="24"/>
        </w:rPr>
        <w:t xml:space="preserve">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委托代理人签字或盖章：</w:t>
      </w:r>
      <w:r>
        <w:rPr>
          <w:rFonts w:ascii="宋体" w:hAnsi="宋体"/>
          <w:sz w:val="24"/>
        </w:rPr>
        <w:t xml:space="preserve">            </w:t>
      </w:r>
      <w:r>
        <w:rPr>
          <w:rFonts w:hint="eastAsia" w:ascii="宋体" w:hAnsi="宋体"/>
          <w:sz w:val="24"/>
        </w:rPr>
        <w:t xml:space="preserve">        </w:t>
      </w:r>
      <w:r>
        <w:rPr>
          <w:rFonts w:ascii="宋体" w:hAnsi="宋体"/>
          <w:sz w:val="24"/>
        </w:rPr>
        <w:t>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投标人公章：</w:t>
      </w:r>
      <w:r>
        <w:rPr>
          <w:rFonts w:ascii="宋体" w:hAnsi="宋体"/>
          <w:sz w:val="24"/>
        </w:rPr>
        <w:t xml:space="preserve"> </w:t>
      </w:r>
    </w:p>
    <w:p>
      <w:pPr>
        <w:spacing w:line="360" w:lineRule="auto"/>
        <w:rPr>
          <w:rFonts w:ascii="宋体" w:hAnsi="宋体"/>
          <w:sz w:val="24"/>
        </w:rPr>
      </w:pPr>
      <w:r>
        <w:rPr>
          <w:rFonts w:hint="eastAsia" w:ascii="宋体" w:hAnsi="宋体"/>
          <w:sz w:val="24"/>
        </w:rPr>
        <w:t>地址：</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hint="eastAsia" w:ascii="宋体" w:hAnsi="宋体"/>
          <w:sz w:val="24"/>
        </w:rPr>
        <w:t>邮编：</w:t>
      </w:r>
    </w:p>
    <w:p>
      <w:pPr>
        <w:spacing w:line="360" w:lineRule="auto"/>
        <w:rPr>
          <w:rFonts w:ascii="宋体" w:hAnsi="宋体"/>
          <w:sz w:val="24"/>
        </w:rPr>
      </w:pPr>
      <w:r>
        <w:rPr>
          <w:rFonts w:hint="eastAsia" w:ascii="宋体" w:hAnsi="宋体"/>
          <w:sz w:val="24"/>
        </w:rPr>
        <w:t>开户行：</w:t>
      </w:r>
    </w:p>
    <w:p>
      <w:pPr>
        <w:spacing w:line="360" w:lineRule="auto"/>
        <w:rPr>
          <w:rFonts w:ascii="宋体" w:hAnsi="宋体"/>
          <w:sz w:val="24"/>
        </w:rPr>
      </w:pPr>
      <w:r>
        <w:rPr>
          <w:rFonts w:hint="eastAsia" w:ascii="宋体" w:hAnsi="宋体"/>
          <w:sz w:val="24"/>
        </w:rPr>
        <w:t>帐号：</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代理人身份证</w:t>
      </w:r>
    </w:p>
    <w:p>
      <w:pPr>
        <w:spacing w:line="360" w:lineRule="auto"/>
        <w:rPr>
          <w:rFonts w:ascii="宋体" w:hAnsi="宋体"/>
          <w:b/>
          <w:bCs/>
          <w:sz w:val="24"/>
        </w:rPr>
      </w:pPr>
      <w:r>
        <w:rPr>
          <w:rFonts w:hint="eastAsia" w:ascii="宋体" w:hAnsi="宋体"/>
          <w:b/>
          <w:bCs/>
          <w:sz w:val="24"/>
        </w:rPr>
        <w:t>（彩色扫描件）粘贴处</w:t>
      </w:r>
    </w:p>
    <w:p>
      <w:pPr>
        <w:spacing w:line="360" w:lineRule="auto"/>
        <w:rPr>
          <w:rFonts w:ascii="宋体" w:hAnsi="宋体"/>
          <w:sz w:val="24"/>
        </w:rPr>
      </w:pPr>
      <w:r>
        <w:rPr>
          <w:rFonts w:hint="eastAsia" w:ascii="宋体" w:hAnsi="宋体"/>
          <w:sz w:val="24"/>
        </w:rPr>
        <w:t>备注：</w:t>
      </w:r>
    </w:p>
    <w:p>
      <w:pPr>
        <w:spacing w:line="360" w:lineRule="auto"/>
        <w:rPr>
          <w:rFonts w:ascii="宋体" w:hAnsi="宋体"/>
          <w:sz w:val="24"/>
        </w:rPr>
      </w:pPr>
      <w:r>
        <w:rPr>
          <w:rFonts w:ascii="宋体" w:hAnsi="宋体"/>
          <w:sz w:val="24"/>
        </w:rPr>
        <w:t>1</w:t>
      </w:r>
      <w:r>
        <w:rPr>
          <w:rFonts w:hint="eastAsia" w:ascii="宋体" w:hAnsi="宋体"/>
          <w:sz w:val="24"/>
        </w:rPr>
        <w:t>、法定代表人参加投标的，提供法人资格证明和本人身份证原件。</w:t>
      </w:r>
    </w:p>
    <w:p>
      <w:pPr>
        <w:spacing w:line="360" w:lineRule="auto"/>
        <w:rPr>
          <w:rFonts w:ascii="宋体" w:hAnsi="宋体"/>
          <w:sz w:val="24"/>
        </w:rPr>
      </w:pPr>
      <w:r>
        <w:rPr>
          <w:rFonts w:ascii="宋体" w:hAnsi="宋体"/>
          <w:sz w:val="24"/>
        </w:rPr>
        <w:t>2</w:t>
      </w:r>
      <w:r>
        <w:rPr>
          <w:rFonts w:hint="eastAsia" w:ascii="宋体" w:hAnsi="宋体"/>
          <w:sz w:val="24"/>
        </w:rPr>
        <w:t>、委托代理人参加投标的，提供授权委托书和本人身份证原件。</w:t>
      </w:r>
    </w:p>
    <w:p>
      <w:pPr>
        <w:pStyle w:val="5"/>
        <w:snapToGrid w:val="0"/>
        <w:spacing w:line="360" w:lineRule="auto"/>
        <w:rPr>
          <w:rFonts w:ascii="宋体" w:hAnsi="宋体" w:eastAsia="宋体"/>
          <w:b/>
          <w:bCs/>
          <w:sz w:val="24"/>
          <w:szCs w:val="24"/>
        </w:rPr>
      </w:pPr>
      <w:r>
        <w:rPr>
          <w:rFonts w:hint="eastAsia" w:ascii="宋体" w:hAnsi="宋体" w:eastAsia="宋体"/>
          <w:b/>
          <w:sz w:val="24"/>
          <w:szCs w:val="24"/>
        </w:rPr>
        <w:t>附件四：</w:t>
      </w:r>
    </w:p>
    <w:p>
      <w:pPr>
        <w:spacing w:line="360" w:lineRule="auto"/>
        <w:jc w:val="center"/>
        <w:rPr>
          <w:rFonts w:ascii="宋体" w:hAnsi="宋体"/>
          <w:b/>
          <w:sz w:val="28"/>
          <w:szCs w:val="28"/>
        </w:rPr>
      </w:pPr>
    </w:p>
    <w:p>
      <w:pPr>
        <w:spacing w:line="360" w:lineRule="auto"/>
        <w:jc w:val="center"/>
        <w:rPr>
          <w:rFonts w:ascii="宋体" w:hAnsi="宋体"/>
          <w:b/>
          <w:sz w:val="30"/>
          <w:szCs w:val="30"/>
        </w:rPr>
      </w:pPr>
      <w:r>
        <w:rPr>
          <w:rFonts w:hint="eastAsia" w:ascii="黑体" w:hAnsi="黑体" w:eastAsia="黑体" w:cs="黑体"/>
          <w:b/>
          <w:sz w:val="30"/>
          <w:szCs w:val="30"/>
        </w:rPr>
        <w:t>具备履行合同所必需的设备和专业技术能力的书面声明</w:t>
      </w:r>
    </w:p>
    <w:p>
      <w:pPr>
        <w:pStyle w:val="8"/>
        <w:ind w:firstLine="480"/>
        <w:rPr>
          <w:szCs w:val="24"/>
        </w:rPr>
      </w:pPr>
    </w:p>
    <w:p>
      <w:pPr>
        <w:pStyle w:val="8"/>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pPr>
        <w:pStyle w:val="8"/>
        <w:spacing w:line="460" w:lineRule="exact"/>
        <w:ind w:firstLine="480"/>
        <w:rPr>
          <w:color w:val="auto"/>
          <w:szCs w:val="24"/>
        </w:rPr>
      </w:pPr>
      <w:r>
        <w:rPr>
          <w:rFonts w:hint="eastAsia"/>
          <w:color w:val="auto"/>
          <w:szCs w:val="24"/>
        </w:rPr>
        <w:t>主要设备有：</w:t>
      </w:r>
      <w:r>
        <w:rPr>
          <w:color w:val="auto"/>
          <w:szCs w:val="24"/>
        </w:rPr>
        <w:t xml:space="preserve"> </w:t>
      </w:r>
      <w:r>
        <w:rPr>
          <w:rFonts w:hint="eastAsia"/>
          <w:color w:val="auto"/>
          <w:szCs w:val="24"/>
        </w:rPr>
        <w:t xml:space="preserve">           </w:t>
      </w:r>
    </w:p>
    <w:p>
      <w:pPr>
        <w:pStyle w:val="8"/>
        <w:spacing w:line="460" w:lineRule="exact"/>
        <w:ind w:firstLine="480"/>
        <w:rPr>
          <w:color w:val="auto"/>
          <w:szCs w:val="24"/>
        </w:rPr>
      </w:pPr>
      <w:r>
        <w:rPr>
          <w:rFonts w:hint="eastAsia"/>
          <w:color w:val="auto"/>
          <w:szCs w:val="24"/>
        </w:rPr>
        <w:t>主要专业技术能力有：</w:t>
      </w:r>
      <w:r>
        <w:rPr>
          <w:color w:val="auto"/>
          <w:szCs w:val="24"/>
        </w:rPr>
        <w:t xml:space="preserve">  </w:t>
      </w:r>
    </w:p>
    <w:p>
      <w:pPr>
        <w:snapToGrid w:val="0"/>
        <w:spacing w:line="460" w:lineRule="exact"/>
        <w:ind w:firstLine="480" w:firstLineChars="200"/>
        <w:rPr>
          <w:rFonts w:ascii="宋体" w:hAnsi="宋体"/>
          <w:sz w:val="24"/>
          <w:szCs w:val="24"/>
        </w:rPr>
      </w:pPr>
    </w:p>
    <w:p>
      <w:pPr>
        <w:snapToGrid w:val="0"/>
        <w:spacing w:line="460" w:lineRule="exact"/>
        <w:ind w:firstLine="480" w:firstLineChars="200"/>
        <w:rPr>
          <w:rFonts w:ascii="宋体" w:hAnsi="宋体"/>
          <w:sz w:val="24"/>
          <w:szCs w:val="24"/>
        </w:rPr>
      </w:pPr>
    </w:p>
    <w:p>
      <w:pPr>
        <w:snapToGrid w:val="0"/>
        <w:spacing w:line="460" w:lineRule="exact"/>
        <w:ind w:firstLine="1920" w:firstLineChars="800"/>
        <w:rPr>
          <w:rFonts w:ascii="宋体" w:hAnsi="宋体"/>
          <w:sz w:val="24"/>
          <w:szCs w:val="24"/>
        </w:rPr>
      </w:pPr>
      <w:r>
        <w:rPr>
          <w:rFonts w:hint="eastAsia" w:ascii="宋体" w:hAnsi="宋体"/>
          <w:sz w:val="24"/>
          <w:szCs w:val="24"/>
        </w:rPr>
        <w:t>投标人名称（公章）：</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spacing w:line="460" w:lineRule="exact"/>
        <w:rPr>
          <w:rFonts w:eastAsia="黑体" w:cs="黑体"/>
          <w:sz w:val="24"/>
          <w:szCs w:val="24"/>
        </w:rPr>
      </w:pPr>
    </w:p>
    <w:p>
      <w:pPr>
        <w:rPr>
          <w:rFonts w:eastAsia="黑体" w:cs="黑体"/>
          <w:sz w:val="28"/>
          <w:szCs w:val="28"/>
        </w:rPr>
      </w:pPr>
    </w:p>
    <w:p>
      <w:pPr>
        <w:spacing w:line="416" w:lineRule="auto"/>
        <w:rPr>
          <w:rFonts w:ascii="黑体" w:hAnsi="黑体" w:eastAsia="黑体" w:cs="黑体"/>
          <w:b/>
          <w:sz w:val="30"/>
          <w:szCs w:val="30"/>
        </w:rPr>
      </w:pPr>
      <w:r>
        <w:rPr>
          <w:rFonts w:hint="eastAsia" w:ascii="黑体" w:hAnsi="黑体" w:eastAsia="黑体" w:cs="黑体"/>
          <w:b/>
          <w:sz w:val="30"/>
          <w:szCs w:val="30"/>
        </w:rPr>
        <w:t>参加政府采购活动前 3 年内在经营活动中没有重大违法记录的书面声明</w:t>
      </w:r>
    </w:p>
    <w:p>
      <w:pPr>
        <w:spacing w:line="460" w:lineRule="exact"/>
        <w:jc w:val="center"/>
        <w:rPr>
          <w:rFonts w:ascii="黑体" w:hAnsi="黑体" w:eastAsia="黑体" w:cs="黑体"/>
          <w:b/>
          <w:sz w:val="24"/>
          <w:szCs w:val="24"/>
        </w:rPr>
      </w:pPr>
      <w:r>
        <w:rPr>
          <w:rFonts w:hint="eastAsia" w:ascii="宋体" w:hAnsi="宋体"/>
          <w:b/>
          <w:bCs/>
          <w:sz w:val="24"/>
          <w:szCs w:val="24"/>
        </w:rPr>
        <w:t>声  明</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我</w:t>
      </w:r>
      <w:r>
        <w:rPr>
          <w:rFonts w:hint="eastAsia"/>
          <w:sz w:val="24"/>
          <w:szCs w:val="24"/>
        </w:rPr>
        <w:t>单位</w:t>
      </w:r>
      <w:r>
        <w:rPr>
          <w:rFonts w:hint="eastAsia" w:ascii="宋体" w:hAnsi="宋体"/>
          <w:sz w:val="24"/>
          <w:szCs w:val="24"/>
        </w:rPr>
        <w:t>郑重声明：参加本次政府采购活动前</w:t>
      </w:r>
      <w:r>
        <w:rPr>
          <w:rFonts w:ascii="宋体" w:hAnsi="宋体"/>
          <w:sz w:val="24"/>
          <w:szCs w:val="24"/>
        </w:rPr>
        <w:t>3</w:t>
      </w:r>
      <w:r>
        <w:rPr>
          <w:rFonts w:hint="eastAsia" w:ascii="宋体" w:hAnsi="宋体"/>
          <w:sz w:val="24"/>
          <w:szCs w:val="24"/>
        </w:rPr>
        <w:t>年内，我</w:t>
      </w:r>
      <w:r>
        <w:rPr>
          <w:rFonts w:hint="eastAsia"/>
          <w:sz w:val="24"/>
          <w:szCs w:val="24"/>
        </w:rPr>
        <w:t>单位</w:t>
      </w:r>
      <w:r>
        <w:rPr>
          <w:rFonts w:hint="eastAsia" w:ascii="宋体" w:hAnsi="宋体"/>
          <w:sz w:val="24"/>
          <w:szCs w:val="24"/>
        </w:rPr>
        <w:t>在经营活动中没有因违法经营受到刑事处罚或者责令停产停业、吊销许可证或者执照、较大数额罚款等行政处罚。</w:t>
      </w:r>
    </w:p>
    <w:p>
      <w:pPr>
        <w:snapToGrid w:val="0"/>
        <w:spacing w:line="460" w:lineRule="exact"/>
        <w:rPr>
          <w:rFonts w:ascii="宋体" w:hAnsi="宋体"/>
          <w:sz w:val="24"/>
          <w:szCs w:val="24"/>
        </w:rPr>
      </w:pPr>
      <w:r>
        <w:rPr>
          <w:rFonts w:ascii="宋体" w:hAnsi="宋体"/>
          <w:sz w:val="24"/>
          <w:szCs w:val="24"/>
        </w:rPr>
        <w:t xml:space="preserve">    </w:t>
      </w:r>
    </w:p>
    <w:p>
      <w:pPr>
        <w:snapToGrid w:val="0"/>
        <w:spacing w:line="460" w:lineRule="exact"/>
        <w:ind w:firstLine="1920" w:firstLineChars="800"/>
        <w:rPr>
          <w:rFonts w:ascii="宋体" w:hAnsi="宋体"/>
          <w:sz w:val="24"/>
          <w:szCs w:val="24"/>
        </w:rPr>
      </w:pPr>
      <w:r>
        <w:rPr>
          <w:rFonts w:hint="eastAsia" w:ascii="宋体" w:hAnsi="宋体"/>
          <w:sz w:val="24"/>
          <w:szCs w:val="24"/>
        </w:rPr>
        <w:t>投标人名称（公章）：</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5"/>
        <w:snapToGrid w:val="0"/>
        <w:spacing w:line="360" w:lineRule="auto"/>
        <w:rPr>
          <w:rFonts w:ascii="宋体" w:hAnsi="宋体" w:eastAsia="宋体"/>
          <w:b/>
          <w:sz w:val="24"/>
          <w:szCs w:val="24"/>
        </w:rPr>
      </w:pPr>
    </w:p>
    <w:p>
      <w:pPr>
        <w:pStyle w:val="5"/>
        <w:snapToGrid w:val="0"/>
        <w:spacing w:line="360" w:lineRule="auto"/>
        <w:rPr>
          <w:rFonts w:ascii="宋体" w:hAnsi="宋体" w:eastAsia="宋体"/>
          <w:b/>
          <w:sz w:val="24"/>
          <w:szCs w:val="24"/>
        </w:rPr>
      </w:pPr>
    </w:p>
    <w:p>
      <w:pPr>
        <w:pStyle w:val="25"/>
        <w:ind w:firstLine="480"/>
      </w:pPr>
    </w:p>
    <w:p>
      <w:pPr>
        <w:pStyle w:val="8"/>
        <w:ind w:firstLine="480"/>
      </w:pPr>
    </w:p>
    <w:p>
      <w:pPr>
        <w:spacing w:line="360" w:lineRule="auto"/>
        <w:jc w:val="center"/>
        <w:rPr>
          <w:rFonts w:ascii="宋体" w:hAnsi="宋体"/>
          <w:b/>
          <w:sz w:val="24"/>
          <w:szCs w:val="24"/>
        </w:rPr>
      </w:pPr>
    </w:p>
    <w:p>
      <w:pPr>
        <w:spacing w:line="360" w:lineRule="auto"/>
        <w:jc w:val="left"/>
        <w:rPr>
          <w:rFonts w:ascii="宋体" w:hAnsi="宋体"/>
          <w:b/>
          <w:sz w:val="24"/>
          <w:szCs w:val="24"/>
        </w:rPr>
      </w:pPr>
      <w:r>
        <w:rPr>
          <w:rFonts w:hint="eastAsia" w:ascii="宋体" w:hAnsi="宋体"/>
          <w:b/>
          <w:sz w:val="24"/>
          <w:szCs w:val="24"/>
        </w:rPr>
        <w:t>附件五：</w:t>
      </w:r>
      <w:bookmarkEnd w:id="111"/>
      <w:bookmarkEnd w:id="112"/>
    </w:p>
    <w:p>
      <w:pPr>
        <w:spacing w:line="360" w:lineRule="auto"/>
        <w:jc w:val="center"/>
        <w:rPr>
          <w:rFonts w:ascii="宋体" w:hAnsi="宋体"/>
          <w:b/>
          <w:bCs/>
          <w:sz w:val="36"/>
          <w:szCs w:val="36"/>
        </w:rPr>
      </w:pPr>
      <w:r>
        <w:rPr>
          <w:rFonts w:hint="eastAsia" w:ascii="宋体" w:hAnsi="宋体"/>
          <w:b/>
          <w:bCs/>
          <w:sz w:val="36"/>
          <w:szCs w:val="36"/>
        </w:rPr>
        <w:t>开标一览表</w:t>
      </w:r>
    </w:p>
    <w:tbl>
      <w:tblPr>
        <w:tblStyle w:val="20"/>
        <w:tblW w:w="9108" w:type="dxa"/>
        <w:tblInd w:w="39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800"/>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trPr>
        <w:tc>
          <w:tcPr>
            <w:tcW w:w="1188" w:type="dxa"/>
            <w:tcBorders>
              <w:top w:val="single" w:color="000000" w:sz="12" w:space="0"/>
              <w:left w:val="single" w:color="000000" w:sz="12" w:space="0"/>
              <w:bottom w:val="single" w:color="000000" w:sz="12" w:space="0"/>
              <w:right w:val="single" w:color="000000" w:sz="6" w:space="0"/>
              <w:tl2br w:val="single" w:color="auto" w:sz="4" w:space="0"/>
            </w:tcBorders>
          </w:tcPr>
          <w:p>
            <w:pPr>
              <w:topLinePunct/>
              <w:spacing w:line="360" w:lineRule="exact"/>
              <w:rPr>
                <w:rFonts w:ascii="宋体" w:hAnsi="宋体"/>
                <w:b/>
                <w:bCs/>
                <w:sz w:val="24"/>
                <w:szCs w:val="24"/>
              </w:rPr>
            </w:pPr>
            <w:r>
              <w:rPr>
                <w:rFonts w:hint="eastAsia" w:ascii="宋体" w:hAnsi="宋体"/>
                <w:b/>
                <w:bCs/>
                <w:sz w:val="24"/>
                <w:szCs w:val="24"/>
              </w:rPr>
              <w:t xml:space="preserve">     项目</w:t>
            </w:r>
          </w:p>
          <w:p>
            <w:pPr>
              <w:topLinePunct/>
              <w:spacing w:line="360" w:lineRule="exact"/>
              <w:rPr>
                <w:rFonts w:ascii="宋体" w:hAnsi="宋体"/>
                <w:b/>
                <w:bCs/>
                <w:sz w:val="24"/>
                <w:szCs w:val="24"/>
              </w:rPr>
            </w:pPr>
          </w:p>
          <w:p>
            <w:pPr>
              <w:topLinePunct/>
              <w:spacing w:line="360" w:lineRule="exact"/>
              <w:rPr>
                <w:rFonts w:ascii="宋体" w:hAnsi="宋体"/>
                <w:b/>
                <w:bCs/>
                <w:sz w:val="24"/>
                <w:szCs w:val="24"/>
              </w:rPr>
            </w:pPr>
            <w:r>
              <w:rPr>
                <w:rFonts w:hint="eastAsia" w:ascii="宋体" w:hAnsi="宋体"/>
                <w:b/>
                <w:bCs/>
                <w:sz w:val="24"/>
                <w:szCs w:val="24"/>
              </w:rPr>
              <w:t>序号</w:t>
            </w:r>
          </w:p>
        </w:tc>
        <w:tc>
          <w:tcPr>
            <w:tcW w:w="180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名     称</w:t>
            </w:r>
          </w:p>
        </w:tc>
        <w:tc>
          <w:tcPr>
            <w:tcW w:w="522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投 标 及 报 价 情 况</w:t>
            </w:r>
          </w:p>
        </w:tc>
        <w:tc>
          <w:tcPr>
            <w:tcW w:w="900" w:type="dxa"/>
            <w:tcBorders>
              <w:top w:val="single" w:color="000000" w:sz="12" w:space="0"/>
              <w:left w:val="single" w:color="000000" w:sz="6" w:space="0"/>
              <w:bottom w:val="single" w:color="000000" w:sz="12" w:space="0"/>
              <w:right w:val="single" w:color="000000" w:sz="12"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88" w:type="dxa"/>
            <w:tcBorders>
              <w:top w:val="single" w:color="000000" w:sz="12"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1</w:t>
            </w:r>
          </w:p>
        </w:tc>
        <w:tc>
          <w:tcPr>
            <w:tcW w:w="1800" w:type="dxa"/>
            <w:tcBorders>
              <w:top w:val="single" w:color="000000" w:sz="12"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投 标 单 位</w:t>
            </w:r>
          </w:p>
        </w:tc>
        <w:tc>
          <w:tcPr>
            <w:tcW w:w="5220" w:type="dxa"/>
            <w:tcBorders>
              <w:top w:val="single" w:color="000000" w:sz="12" w:space="0"/>
              <w:left w:val="single" w:color="000000" w:sz="6" w:space="0"/>
              <w:bottom w:val="single" w:color="000000" w:sz="6" w:space="0"/>
              <w:right w:val="single" w:color="000000" w:sz="6" w:space="0"/>
            </w:tcBorders>
          </w:tcPr>
          <w:p>
            <w:pPr>
              <w:topLinePunct/>
              <w:spacing w:line="360" w:lineRule="exact"/>
              <w:rPr>
                <w:rFonts w:ascii="宋体" w:hAnsi="宋体"/>
                <w:sz w:val="24"/>
                <w:szCs w:val="24"/>
              </w:rPr>
            </w:pPr>
          </w:p>
          <w:p>
            <w:pPr>
              <w:topLinePunct/>
              <w:spacing w:line="360" w:lineRule="exact"/>
              <w:rPr>
                <w:rFonts w:ascii="宋体" w:hAnsi="宋体"/>
                <w:sz w:val="24"/>
                <w:szCs w:val="24"/>
              </w:rPr>
            </w:pPr>
          </w:p>
        </w:tc>
        <w:tc>
          <w:tcPr>
            <w:tcW w:w="900" w:type="dxa"/>
            <w:tcBorders>
              <w:top w:val="single" w:color="000000" w:sz="12"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9"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2</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工  期</w:t>
            </w:r>
          </w:p>
          <w:p>
            <w:pPr>
              <w:topLinePunct/>
              <w:spacing w:line="360" w:lineRule="exact"/>
              <w:jc w:val="center"/>
              <w:rPr>
                <w:rFonts w:ascii="宋体" w:hAnsi="宋体"/>
                <w:sz w:val="24"/>
                <w:szCs w:val="24"/>
              </w:rPr>
            </w:pPr>
            <w:r>
              <w:rPr>
                <w:rFonts w:hint="eastAsia" w:ascii="宋体" w:hAnsi="宋体"/>
                <w:sz w:val="24"/>
                <w:szCs w:val="24"/>
              </w:rPr>
              <w:t>（日历天）</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 w:val="24"/>
                <w:szCs w:val="24"/>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1"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3</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质     量</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 w:val="24"/>
                <w:szCs w:val="24"/>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7"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4</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投 标 价格</w:t>
            </w:r>
          </w:p>
          <w:p>
            <w:pPr>
              <w:topLinePunct/>
              <w:spacing w:line="360" w:lineRule="exact"/>
              <w:jc w:val="center"/>
              <w:rPr>
                <w:rFonts w:ascii="宋体" w:hAnsi="宋体"/>
                <w:sz w:val="24"/>
                <w:szCs w:val="24"/>
              </w:rPr>
            </w:pP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auto"/>
              <w:jc w:val="center"/>
              <w:rPr>
                <w:rFonts w:ascii="宋体" w:hAnsi="宋体"/>
                <w:sz w:val="24"/>
                <w:szCs w:val="24"/>
                <w:u w:val="single"/>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12"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5</w:t>
            </w:r>
          </w:p>
        </w:tc>
        <w:tc>
          <w:tcPr>
            <w:tcW w:w="180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备注</w:t>
            </w:r>
          </w:p>
        </w:tc>
        <w:tc>
          <w:tcPr>
            <w:tcW w:w="522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rPr>
                <w:rFonts w:ascii="宋体" w:hAnsi="宋体"/>
                <w:sz w:val="24"/>
                <w:szCs w:val="24"/>
              </w:rPr>
            </w:pPr>
            <w:r>
              <w:rPr>
                <w:rFonts w:hint="eastAsia" w:ascii="宋体" w:hAnsi="宋体" w:cs="宋体"/>
                <w:bCs/>
                <w:sz w:val="20"/>
                <w:szCs w:val="20"/>
              </w:rPr>
              <w:t>投标价格高于该招标控制价的作为无效投标处理；</w:t>
            </w:r>
            <w:r>
              <w:rPr>
                <w:rFonts w:hint="eastAsia" w:ascii="宋体" w:hAnsi="宋体"/>
                <w:bCs/>
                <w:sz w:val="20"/>
                <w:szCs w:val="20"/>
              </w:rPr>
              <w:t>材料价参照施工期间信息价进行编制，如无信息价则由施工单位、建设单位、审计单位、监理单位四方市场询价，协商后计入结算文件。</w:t>
            </w:r>
          </w:p>
        </w:tc>
        <w:tc>
          <w:tcPr>
            <w:tcW w:w="900" w:type="dxa"/>
            <w:tcBorders>
              <w:top w:val="single" w:color="000000" w:sz="6" w:space="0"/>
              <w:left w:val="single" w:color="000000" w:sz="6" w:space="0"/>
              <w:bottom w:val="single" w:color="000000" w:sz="12" w:space="0"/>
              <w:right w:val="single" w:color="000000" w:sz="12" w:space="0"/>
            </w:tcBorders>
          </w:tcPr>
          <w:p>
            <w:pPr>
              <w:topLinePunct/>
              <w:spacing w:line="360" w:lineRule="exact"/>
              <w:jc w:val="center"/>
              <w:rPr>
                <w:rFonts w:ascii="宋体" w:hAnsi="宋体"/>
                <w:sz w:val="24"/>
                <w:szCs w:val="24"/>
              </w:rPr>
            </w:pPr>
          </w:p>
        </w:tc>
      </w:tr>
    </w:tbl>
    <w:p>
      <w:pPr>
        <w:spacing w:line="360" w:lineRule="auto"/>
        <w:rPr>
          <w:rFonts w:ascii="宋体" w:hAnsi="宋体"/>
          <w:b/>
          <w:sz w:val="24"/>
          <w:szCs w:val="24"/>
        </w:rPr>
      </w:pPr>
    </w:p>
    <w:p>
      <w:pPr>
        <w:spacing w:line="360" w:lineRule="auto"/>
        <w:rPr>
          <w:rFonts w:ascii="宋体" w:hAnsi="宋体" w:cs="宋体"/>
          <w:sz w:val="24"/>
          <w:szCs w:val="24"/>
        </w:rPr>
      </w:pPr>
      <w:r>
        <w:rPr>
          <w:rFonts w:hint="eastAsia" w:ascii="宋体" w:hAnsi="宋体" w:cs="宋体"/>
          <w:sz w:val="24"/>
          <w:szCs w:val="24"/>
        </w:rPr>
        <w:t>供应商</w:t>
      </w:r>
      <w:r>
        <w:rPr>
          <w:rFonts w:hint="eastAsia" w:ascii="宋体" w:hAnsi="宋体"/>
          <w:sz w:val="24"/>
          <w:szCs w:val="24"/>
        </w:rPr>
        <w:t>名称（公章）：</w:t>
      </w:r>
    </w:p>
    <w:p>
      <w:pPr>
        <w:spacing w:line="360" w:lineRule="auto"/>
        <w:rPr>
          <w:rFonts w:ascii="宋体" w:hAnsi="宋体" w:cs="宋体"/>
          <w:sz w:val="24"/>
          <w:szCs w:val="24"/>
        </w:rPr>
      </w:pPr>
      <w:r>
        <w:rPr>
          <w:rFonts w:hint="eastAsia" w:ascii="宋体" w:hAnsi="宋体" w:cs="宋体"/>
          <w:sz w:val="24"/>
          <w:szCs w:val="24"/>
        </w:rPr>
        <w:t>法定代表人或代理人（签字或盖章）：</w:t>
      </w:r>
    </w:p>
    <w:p>
      <w:pPr>
        <w:spacing w:line="360" w:lineRule="auto"/>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spacing w:line="360" w:lineRule="auto"/>
        <w:ind w:firstLine="480" w:firstLineChars="200"/>
        <w:rPr>
          <w:rFonts w:ascii="宋体" w:hAnsi="宋体"/>
          <w:b/>
          <w:sz w:val="24"/>
          <w:szCs w:val="24"/>
        </w:rPr>
        <w:sectPr>
          <w:footerReference r:id="rId10" w:type="first"/>
          <w:footerReference r:id="rId9" w:type="default"/>
          <w:pgSz w:w="11906" w:h="16838"/>
          <w:pgMar w:top="1440" w:right="1418" w:bottom="1440" w:left="1559" w:header="851" w:footer="992" w:gutter="0"/>
          <w:pgNumType w:start="1"/>
          <w:cols w:space="720" w:num="1"/>
          <w:docGrid w:linePitch="312" w:charSpace="0"/>
        </w:sectPr>
      </w:pPr>
      <w:r>
        <w:rPr>
          <w:rFonts w:hint="eastAsia" w:ascii="宋体" w:hAnsi="宋体" w:cs="宋体"/>
          <w:sz w:val="24"/>
          <w:szCs w:val="24"/>
        </w:rPr>
        <w:t>注：1、如供应商的最终报价明显低于成本价,涉嫌恶意竞争,扰乱市场秩序的，供应商将自行承担由此而产生的任何法律责任。采购代理机构对此不承担任何责任。</w:t>
      </w:r>
    </w:p>
    <w:p>
      <w:pPr>
        <w:spacing w:line="360" w:lineRule="auto"/>
        <w:jc w:val="left"/>
        <w:rPr>
          <w:rFonts w:ascii="宋体" w:hAnsi="宋体"/>
          <w:b/>
          <w:sz w:val="24"/>
          <w:szCs w:val="24"/>
        </w:rPr>
      </w:pPr>
      <w:bookmarkStart w:id="113" w:name="_Toc288738396"/>
      <w:bookmarkStart w:id="114" w:name="_Toc288738838"/>
      <w:r>
        <w:rPr>
          <w:rFonts w:hint="eastAsia" w:ascii="宋体" w:hAnsi="宋体"/>
          <w:b/>
          <w:sz w:val="24"/>
          <w:szCs w:val="24"/>
        </w:rPr>
        <w:t>附件六：</w:t>
      </w:r>
    </w:p>
    <w:p>
      <w:pPr>
        <w:pStyle w:val="2"/>
        <w:rPr>
          <w:rFonts w:ascii="宋体" w:hAnsi="宋体"/>
          <w:b/>
          <w:sz w:val="24"/>
          <w:szCs w:val="24"/>
        </w:rPr>
      </w:pPr>
    </w:p>
    <w:p>
      <w:pPr>
        <w:pStyle w:val="5"/>
        <w:snapToGrid w:val="0"/>
        <w:spacing w:before="156" w:beforeLines="50" w:line="360" w:lineRule="auto"/>
        <w:jc w:val="center"/>
        <w:rPr>
          <w:rFonts w:ascii="宋体" w:hAnsi="宋体"/>
          <w:b/>
          <w:bCs/>
          <w:sz w:val="36"/>
          <w:szCs w:val="24"/>
        </w:rPr>
      </w:pPr>
      <w:r>
        <w:rPr>
          <w:rFonts w:hint="eastAsia" w:ascii="宋体" w:hAnsi="宋体"/>
          <w:b/>
          <w:bCs/>
          <w:sz w:val="36"/>
          <w:szCs w:val="24"/>
        </w:rPr>
        <w:t>分项报价表</w:t>
      </w:r>
    </w:p>
    <w:p>
      <w:pPr>
        <w:pStyle w:val="2"/>
        <w:rPr>
          <w:rFonts w:ascii="宋体" w:hAnsi="宋体"/>
          <w:b/>
          <w:sz w:val="24"/>
          <w:szCs w:val="24"/>
        </w:rPr>
      </w:pPr>
    </w:p>
    <w:p>
      <w:pPr>
        <w:pStyle w:val="2"/>
        <w:rPr>
          <w:rFonts w:ascii="宋体" w:hAnsi="宋体"/>
          <w:b/>
          <w:sz w:val="24"/>
          <w:szCs w:val="24"/>
        </w:rPr>
      </w:pPr>
    </w:p>
    <w:p>
      <w:pPr>
        <w:snapToGrid w:val="0"/>
        <w:spacing w:before="156" w:beforeLines="50" w:line="360" w:lineRule="auto"/>
        <w:rPr>
          <w:rFonts w:ascii="宋体" w:hAnsi="宋体" w:cs="宋体"/>
          <w:szCs w:val="21"/>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tbl>
      <w:tblPr>
        <w:tblStyle w:val="20"/>
        <w:tblW w:w="7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46"/>
        <w:gridCol w:w="751"/>
        <w:gridCol w:w="1192"/>
        <w:gridCol w:w="1225"/>
        <w:gridCol w:w="919"/>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序号</w:t>
            </w:r>
          </w:p>
        </w:tc>
        <w:tc>
          <w:tcPr>
            <w:tcW w:w="1146"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项目名称</w:t>
            </w:r>
          </w:p>
        </w:tc>
        <w:tc>
          <w:tcPr>
            <w:tcW w:w="751"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计量单位</w:t>
            </w:r>
          </w:p>
        </w:tc>
        <w:tc>
          <w:tcPr>
            <w:tcW w:w="1192" w:type="dxa"/>
            <w:vMerge w:val="restart"/>
            <w:tcBorders>
              <w:right w:val="single" w:color="auto" w:sz="4" w:space="0"/>
            </w:tcBorders>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工程数量</w:t>
            </w:r>
          </w:p>
        </w:tc>
        <w:tc>
          <w:tcPr>
            <w:tcW w:w="3705"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kern w:val="0"/>
                <w:sz w:val="24"/>
                <w:szCs w:val="24"/>
              </w:rPr>
            </w:pPr>
          </w:p>
        </w:tc>
        <w:tc>
          <w:tcPr>
            <w:tcW w:w="1146" w:type="dxa"/>
            <w:vMerge w:val="continue"/>
            <w:vAlign w:val="center"/>
          </w:tcPr>
          <w:p>
            <w:pPr>
              <w:widowControl/>
              <w:snapToGrid w:val="0"/>
              <w:spacing w:line="360" w:lineRule="auto"/>
              <w:jc w:val="center"/>
              <w:rPr>
                <w:rFonts w:ascii="宋体" w:hAnsi="宋体" w:cs="Arial"/>
                <w:kern w:val="0"/>
                <w:sz w:val="24"/>
                <w:szCs w:val="24"/>
              </w:rPr>
            </w:pPr>
          </w:p>
        </w:tc>
        <w:tc>
          <w:tcPr>
            <w:tcW w:w="751" w:type="dxa"/>
            <w:vMerge w:val="continue"/>
            <w:vAlign w:val="center"/>
          </w:tcPr>
          <w:p>
            <w:pPr>
              <w:widowControl/>
              <w:snapToGrid w:val="0"/>
              <w:spacing w:line="360" w:lineRule="auto"/>
              <w:jc w:val="center"/>
              <w:rPr>
                <w:rFonts w:ascii="宋体" w:hAnsi="宋体" w:cs="Arial"/>
                <w:kern w:val="0"/>
                <w:sz w:val="24"/>
                <w:szCs w:val="24"/>
              </w:rPr>
            </w:pPr>
          </w:p>
        </w:tc>
        <w:tc>
          <w:tcPr>
            <w:tcW w:w="1192" w:type="dxa"/>
            <w:vMerge w:val="continue"/>
            <w:vAlign w:val="center"/>
          </w:tcPr>
          <w:p>
            <w:pPr>
              <w:widowControl/>
              <w:snapToGrid w:val="0"/>
              <w:spacing w:line="360" w:lineRule="auto"/>
              <w:jc w:val="center"/>
              <w:rPr>
                <w:rFonts w:ascii="宋体" w:hAnsi="宋体" w:cs="Arial"/>
                <w:kern w:val="0"/>
                <w:sz w:val="24"/>
                <w:szCs w:val="24"/>
              </w:rPr>
            </w:pPr>
          </w:p>
        </w:tc>
        <w:tc>
          <w:tcPr>
            <w:tcW w:w="1225" w:type="dxa"/>
            <w:tcBorders>
              <w:top w:val="single" w:color="auto" w:sz="4" w:space="0"/>
            </w:tcBorders>
            <w:vAlign w:val="center"/>
          </w:tcPr>
          <w:p>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综合单价</w:t>
            </w:r>
          </w:p>
        </w:tc>
        <w:tc>
          <w:tcPr>
            <w:tcW w:w="919" w:type="dxa"/>
            <w:tcBorders>
              <w:top w:val="single" w:color="auto" w:sz="4" w:space="0"/>
            </w:tcBorders>
            <w:vAlign w:val="center"/>
          </w:tcPr>
          <w:p>
            <w:pPr>
              <w:widowControl/>
              <w:snapToGrid w:val="0"/>
              <w:spacing w:line="360" w:lineRule="auto"/>
              <w:jc w:val="center"/>
              <w:rPr>
                <w:rFonts w:ascii="宋体" w:hAnsi="宋体" w:cs="Arial"/>
                <w:b/>
                <w:bCs/>
                <w:kern w:val="0"/>
                <w:sz w:val="24"/>
                <w:szCs w:val="24"/>
              </w:rPr>
            </w:pPr>
            <w:r>
              <w:rPr>
                <w:rFonts w:hint="eastAsia" w:ascii="宋体" w:hAnsi="宋体" w:cs="Arial"/>
                <w:b/>
                <w:bCs/>
                <w:kern w:val="0"/>
                <w:sz w:val="24"/>
                <w:szCs w:val="24"/>
              </w:rPr>
              <w:t>合价</w:t>
            </w:r>
          </w:p>
        </w:tc>
        <w:tc>
          <w:tcPr>
            <w:tcW w:w="1561" w:type="dxa"/>
            <w:tcBorders>
              <w:top w:val="single" w:color="auto" w:sz="4" w:space="0"/>
            </w:tcBorders>
            <w:vAlign w:val="center"/>
          </w:tcPr>
          <w:p>
            <w:pPr>
              <w:widowControl/>
              <w:snapToGrid w:val="0"/>
              <w:spacing w:line="360" w:lineRule="auto"/>
              <w:jc w:val="center"/>
              <w:rPr>
                <w:rFonts w:ascii="宋体" w:hAnsi="宋体" w:cs="Arial"/>
                <w:b/>
                <w:bCs/>
                <w:kern w:val="0"/>
                <w:sz w:val="24"/>
                <w:szCs w:val="24"/>
              </w:rPr>
            </w:pPr>
            <w:r>
              <w:rPr>
                <w:rFonts w:hint="eastAsia" w:ascii="宋体" w:hAnsi="宋体" w:cs="Arial"/>
                <w:b/>
                <w:bCs/>
                <w:kern w:val="0"/>
                <w:sz w:val="24"/>
                <w:szCs w:val="24"/>
              </w:rPr>
              <w:t>其中:暂估价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1</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2</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3</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4</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5</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bl>
    <w:p>
      <w:pPr>
        <w:widowControl/>
        <w:snapToGrid w:val="0"/>
        <w:spacing w:line="360" w:lineRule="auto"/>
        <w:rPr>
          <w:rFonts w:ascii="宋体" w:hAnsi="宋体" w:cs="Arial"/>
          <w:kern w:val="0"/>
          <w:szCs w:val="21"/>
        </w:rPr>
      </w:pP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格式自拟</w:t>
      </w:r>
    </w:p>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供应商名称（公章）：</w:t>
      </w:r>
    </w:p>
    <w:p>
      <w:pPr>
        <w:pStyle w:val="8"/>
        <w:spacing w:before="156" w:beforeLines="50"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法定代表人或代理人（签字或盖章）：</w:t>
      </w: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r>
        <w:rPr>
          <w:rFonts w:hint="eastAsia"/>
          <w:b/>
          <w:bCs/>
        </w:rPr>
        <w:t>附件七：</w:t>
      </w:r>
    </w:p>
    <w:p>
      <w:pPr>
        <w:pStyle w:val="8"/>
        <w:ind w:firstLine="480"/>
      </w:pPr>
    </w:p>
    <w:p>
      <w:pPr>
        <w:pStyle w:val="13"/>
        <w:adjustRightInd w:val="0"/>
        <w:snapToGrid w:val="0"/>
        <w:spacing w:line="300" w:lineRule="auto"/>
        <w:jc w:val="center"/>
        <w:rPr>
          <w:rFonts w:hAnsi="宋体"/>
          <w:b/>
          <w:bCs/>
          <w:sz w:val="28"/>
          <w:szCs w:val="28"/>
        </w:rPr>
      </w:pPr>
      <w:r>
        <w:rPr>
          <w:rFonts w:hint="eastAsia" w:hAnsi="宋体"/>
          <w:b/>
          <w:bCs/>
          <w:sz w:val="28"/>
          <w:szCs w:val="28"/>
        </w:rPr>
        <w:t>项目负责人简历表</w:t>
      </w:r>
    </w:p>
    <w:tbl>
      <w:tblPr>
        <w:tblStyle w:val="20"/>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586"/>
        <w:gridCol w:w="350"/>
        <w:gridCol w:w="516"/>
        <w:gridCol w:w="528"/>
        <w:gridCol w:w="784"/>
        <w:gridCol w:w="50"/>
        <w:gridCol w:w="1217"/>
        <w:gridCol w:w="560"/>
        <w:gridCol w:w="915"/>
        <w:gridCol w:w="26"/>
        <w:gridCol w:w="1017"/>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21" w:type="dxa"/>
            <w:vAlign w:val="center"/>
          </w:tcPr>
          <w:p>
            <w:pPr>
              <w:pStyle w:val="13"/>
              <w:adjustRightInd w:val="0"/>
              <w:snapToGrid w:val="0"/>
              <w:spacing w:line="300" w:lineRule="auto"/>
              <w:jc w:val="center"/>
              <w:rPr>
                <w:rFonts w:hAnsi="宋体"/>
                <w:sz w:val="24"/>
                <w:szCs w:val="24"/>
              </w:rPr>
            </w:pPr>
            <w:r>
              <w:rPr>
                <w:rFonts w:hint="eastAsia" w:hAnsi="宋体"/>
                <w:sz w:val="24"/>
                <w:szCs w:val="24"/>
              </w:rPr>
              <w:t>姓名</w:t>
            </w:r>
          </w:p>
        </w:tc>
        <w:tc>
          <w:tcPr>
            <w:tcW w:w="1452" w:type="dxa"/>
            <w:gridSpan w:val="3"/>
            <w:vAlign w:val="center"/>
          </w:tcPr>
          <w:p>
            <w:pPr>
              <w:pStyle w:val="13"/>
              <w:adjustRightInd w:val="0"/>
              <w:snapToGrid w:val="0"/>
              <w:spacing w:line="300" w:lineRule="auto"/>
              <w:jc w:val="center"/>
              <w:rPr>
                <w:rFonts w:hAnsi="宋体"/>
                <w:sz w:val="24"/>
                <w:szCs w:val="24"/>
              </w:rPr>
            </w:pPr>
          </w:p>
        </w:tc>
        <w:tc>
          <w:tcPr>
            <w:tcW w:w="1362" w:type="dxa"/>
            <w:gridSpan w:val="3"/>
            <w:vAlign w:val="center"/>
          </w:tcPr>
          <w:p>
            <w:pPr>
              <w:pStyle w:val="13"/>
              <w:adjustRightInd w:val="0"/>
              <w:snapToGrid w:val="0"/>
              <w:spacing w:line="300" w:lineRule="auto"/>
              <w:jc w:val="center"/>
              <w:rPr>
                <w:rFonts w:hAnsi="宋体"/>
                <w:sz w:val="24"/>
                <w:szCs w:val="24"/>
              </w:rPr>
            </w:pPr>
            <w:r>
              <w:rPr>
                <w:rFonts w:hint="eastAsia" w:hAnsi="宋体"/>
                <w:sz w:val="24"/>
                <w:szCs w:val="24"/>
              </w:rPr>
              <w:t>性别</w:t>
            </w:r>
          </w:p>
        </w:tc>
        <w:tc>
          <w:tcPr>
            <w:tcW w:w="1217" w:type="dxa"/>
            <w:vAlign w:val="center"/>
          </w:tcPr>
          <w:p>
            <w:pPr>
              <w:pStyle w:val="13"/>
              <w:adjustRightInd w:val="0"/>
              <w:snapToGrid w:val="0"/>
              <w:spacing w:line="300" w:lineRule="auto"/>
              <w:jc w:val="center"/>
              <w:rPr>
                <w:rFonts w:hAnsi="宋体"/>
                <w:sz w:val="24"/>
                <w:szCs w:val="24"/>
              </w:rPr>
            </w:pPr>
          </w:p>
        </w:tc>
        <w:tc>
          <w:tcPr>
            <w:tcW w:w="1501" w:type="dxa"/>
            <w:gridSpan w:val="3"/>
            <w:vAlign w:val="center"/>
          </w:tcPr>
          <w:p>
            <w:pPr>
              <w:pStyle w:val="13"/>
              <w:adjustRightInd w:val="0"/>
              <w:snapToGrid w:val="0"/>
              <w:spacing w:line="300" w:lineRule="auto"/>
              <w:jc w:val="center"/>
              <w:rPr>
                <w:rFonts w:hAnsi="宋体"/>
                <w:sz w:val="24"/>
                <w:szCs w:val="24"/>
              </w:rPr>
            </w:pPr>
            <w:r>
              <w:rPr>
                <w:rFonts w:hint="eastAsia" w:hAnsi="宋体"/>
                <w:sz w:val="24"/>
                <w:szCs w:val="24"/>
              </w:rPr>
              <w:t>年龄</w:t>
            </w:r>
          </w:p>
        </w:tc>
        <w:tc>
          <w:tcPr>
            <w:tcW w:w="2063" w:type="dxa"/>
            <w:gridSpan w:val="2"/>
            <w:vAlign w:val="center"/>
          </w:tcPr>
          <w:p>
            <w:pPr>
              <w:pStyle w:val="13"/>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21" w:type="dxa"/>
            <w:vAlign w:val="center"/>
          </w:tcPr>
          <w:p>
            <w:pPr>
              <w:pStyle w:val="13"/>
              <w:adjustRightInd w:val="0"/>
              <w:snapToGrid w:val="0"/>
              <w:spacing w:line="300" w:lineRule="auto"/>
              <w:jc w:val="center"/>
              <w:rPr>
                <w:rFonts w:hAnsi="宋体"/>
                <w:sz w:val="24"/>
                <w:szCs w:val="24"/>
              </w:rPr>
            </w:pPr>
            <w:r>
              <w:rPr>
                <w:rFonts w:hint="eastAsia" w:hAnsi="宋体"/>
                <w:sz w:val="24"/>
                <w:szCs w:val="24"/>
              </w:rPr>
              <w:t>职务</w:t>
            </w:r>
          </w:p>
        </w:tc>
        <w:tc>
          <w:tcPr>
            <w:tcW w:w="2764" w:type="dxa"/>
            <w:gridSpan w:val="5"/>
            <w:vAlign w:val="center"/>
          </w:tcPr>
          <w:p>
            <w:pPr>
              <w:pStyle w:val="13"/>
              <w:adjustRightInd w:val="0"/>
              <w:snapToGrid w:val="0"/>
              <w:spacing w:line="300" w:lineRule="auto"/>
              <w:jc w:val="center"/>
              <w:rPr>
                <w:rFonts w:hAnsi="宋体"/>
                <w:sz w:val="24"/>
                <w:szCs w:val="24"/>
              </w:rPr>
            </w:pPr>
          </w:p>
        </w:tc>
        <w:tc>
          <w:tcPr>
            <w:tcW w:w="1267" w:type="dxa"/>
            <w:gridSpan w:val="2"/>
            <w:vAlign w:val="center"/>
          </w:tcPr>
          <w:p>
            <w:pPr>
              <w:pStyle w:val="13"/>
              <w:adjustRightInd w:val="0"/>
              <w:snapToGrid w:val="0"/>
              <w:spacing w:line="300" w:lineRule="auto"/>
              <w:jc w:val="center"/>
              <w:rPr>
                <w:rFonts w:hAnsi="宋体"/>
                <w:sz w:val="24"/>
                <w:szCs w:val="24"/>
              </w:rPr>
            </w:pPr>
            <w:r>
              <w:rPr>
                <w:rFonts w:hint="eastAsia" w:hAnsi="宋体"/>
                <w:sz w:val="24"/>
                <w:szCs w:val="24"/>
              </w:rPr>
              <w:t>学历</w:t>
            </w:r>
          </w:p>
        </w:tc>
        <w:tc>
          <w:tcPr>
            <w:tcW w:w="3564" w:type="dxa"/>
            <w:gridSpan w:val="5"/>
            <w:vAlign w:val="center"/>
          </w:tcPr>
          <w:p>
            <w:pPr>
              <w:pStyle w:val="13"/>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1607" w:type="dxa"/>
            <w:gridSpan w:val="2"/>
            <w:vAlign w:val="center"/>
          </w:tcPr>
          <w:p>
            <w:pPr>
              <w:pStyle w:val="13"/>
              <w:adjustRightInd w:val="0"/>
              <w:snapToGrid w:val="0"/>
              <w:spacing w:line="300" w:lineRule="auto"/>
              <w:jc w:val="center"/>
              <w:rPr>
                <w:rFonts w:hAnsi="宋体"/>
                <w:sz w:val="24"/>
                <w:szCs w:val="24"/>
              </w:rPr>
            </w:pPr>
            <w:r>
              <w:rPr>
                <w:rFonts w:hint="eastAsia" w:hAnsi="宋体"/>
                <w:sz w:val="24"/>
                <w:szCs w:val="24"/>
              </w:rPr>
              <w:t>参加工作时间</w:t>
            </w:r>
          </w:p>
        </w:tc>
        <w:tc>
          <w:tcPr>
            <w:tcW w:w="2178" w:type="dxa"/>
            <w:gridSpan w:val="4"/>
            <w:vAlign w:val="center"/>
          </w:tcPr>
          <w:p>
            <w:pPr>
              <w:pStyle w:val="13"/>
              <w:adjustRightInd w:val="0"/>
              <w:snapToGrid w:val="0"/>
              <w:spacing w:line="300" w:lineRule="auto"/>
              <w:jc w:val="center"/>
              <w:rPr>
                <w:rFonts w:hAnsi="宋体"/>
                <w:sz w:val="24"/>
                <w:szCs w:val="24"/>
              </w:rPr>
            </w:pPr>
            <w:r>
              <w:rPr>
                <w:rFonts w:hint="eastAsia" w:hAnsi="宋体"/>
                <w:sz w:val="24"/>
                <w:szCs w:val="24"/>
              </w:rPr>
              <w:t xml:space="preserve">             </w:t>
            </w:r>
          </w:p>
        </w:tc>
        <w:tc>
          <w:tcPr>
            <w:tcW w:w="2742" w:type="dxa"/>
            <w:gridSpan w:val="4"/>
            <w:vAlign w:val="center"/>
          </w:tcPr>
          <w:p>
            <w:pPr>
              <w:pStyle w:val="13"/>
              <w:adjustRightInd w:val="0"/>
              <w:snapToGrid w:val="0"/>
              <w:spacing w:line="300" w:lineRule="auto"/>
              <w:jc w:val="center"/>
              <w:rPr>
                <w:rFonts w:hAnsi="宋体"/>
                <w:sz w:val="24"/>
                <w:szCs w:val="24"/>
              </w:rPr>
            </w:pPr>
            <w:r>
              <w:rPr>
                <w:rFonts w:hint="eastAsia" w:hAnsi="宋体"/>
                <w:sz w:val="24"/>
                <w:szCs w:val="24"/>
              </w:rPr>
              <w:t>从事项目负责人年限</w:t>
            </w:r>
          </w:p>
        </w:tc>
        <w:tc>
          <w:tcPr>
            <w:tcW w:w="2089" w:type="dxa"/>
            <w:gridSpan w:val="3"/>
            <w:vAlign w:val="center"/>
          </w:tcPr>
          <w:p>
            <w:pPr>
              <w:pStyle w:val="13"/>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616" w:type="dxa"/>
            <w:gridSpan w:val="13"/>
            <w:vAlign w:val="center"/>
          </w:tcPr>
          <w:p>
            <w:pPr>
              <w:pStyle w:val="13"/>
              <w:adjustRightInd w:val="0"/>
              <w:snapToGrid w:val="0"/>
              <w:spacing w:line="300" w:lineRule="auto"/>
              <w:jc w:val="center"/>
              <w:rPr>
                <w:rFonts w:hAnsi="宋体"/>
                <w:sz w:val="24"/>
                <w:szCs w:val="24"/>
              </w:rPr>
            </w:pPr>
            <w:r>
              <w:rPr>
                <w:rFonts w:hint="eastAsia" w:hAnsi="宋体"/>
                <w:sz w:val="24"/>
                <w:szCs w:val="24"/>
              </w:rPr>
              <w:t>项目负责人业绩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957" w:type="dxa"/>
            <w:gridSpan w:val="3"/>
            <w:vAlign w:val="center"/>
          </w:tcPr>
          <w:p>
            <w:pPr>
              <w:pStyle w:val="13"/>
              <w:adjustRightInd w:val="0"/>
              <w:snapToGrid w:val="0"/>
              <w:spacing w:line="300" w:lineRule="auto"/>
              <w:jc w:val="center"/>
              <w:rPr>
                <w:rFonts w:hAnsi="宋体"/>
                <w:sz w:val="24"/>
                <w:szCs w:val="24"/>
              </w:rPr>
            </w:pPr>
            <w:r>
              <w:rPr>
                <w:rFonts w:hint="eastAsia" w:hAnsi="宋体"/>
                <w:sz w:val="24"/>
                <w:szCs w:val="24"/>
              </w:rPr>
              <w:t>项目名称</w:t>
            </w:r>
          </w:p>
        </w:tc>
        <w:tc>
          <w:tcPr>
            <w:tcW w:w="1044" w:type="dxa"/>
            <w:gridSpan w:val="2"/>
            <w:vAlign w:val="center"/>
          </w:tcPr>
          <w:p>
            <w:pPr>
              <w:pStyle w:val="13"/>
              <w:adjustRightInd w:val="0"/>
              <w:snapToGrid w:val="0"/>
              <w:spacing w:line="300" w:lineRule="auto"/>
              <w:jc w:val="center"/>
              <w:rPr>
                <w:rFonts w:hAnsi="宋体"/>
                <w:sz w:val="24"/>
                <w:szCs w:val="24"/>
              </w:rPr>
            </w:pPr>
            <w:r>
              <w:rPr>
                <w:rFonts w:hint="eastAsia" w:hAnsi="宋体"/>
                <w:sz w:val="24"/>
                <w:szCs w:val="24"/>
              </w:rPr>
              <w:t>建设规模</w:t>
            </w:r>
          </w:p>
        </w:tc>
        <w:tc>
          <w:tcPr>
            <w:tcW w:w="2611" w:type="dxa"/>
            <w:gridSpan w:val="4"/>
            <w:vAlign w:val="center"/>
          </w:tcPr>
          <w:p>
            <w:pPr>
              <w:pStyle w:val="13"/>
              <w:adjustRightInd w:val="0"/>
              <w:snapToGrid w:val="0"/>
              <w:spacing w:line="300" w:lineRule="auto"/>
              <w:jc w:val="center"/>
              <w:rPr>
                <w:rFonts w:hAnsi="宋体"/>
                <w:sz w:val="24"/>
                <w:szCs w:val="24"/>
              </w:rPr>
            </w:pPr>
            <w:r>
              <w:rPr>
                <w:rFonts w:hint="eastAsia" w:hAnsi="宋体"/>
                <w:sz w:val="24"/>
                <w:szCs w:val="24"/>
              </w:rPr>
              <w:t>开、竣工程日期</w:t>
            </w:r>
          </w:p>
        </w:tc>
        <w:tc>
          <w:tcPr>
            <w:tcW w:w="1958" w:type="dxa"/>
            <w:gridSpan w:val="3"/>
            <w:vAlign w:val="center"/>
          </w:tcPr>
          <w:p>
            <w:pPr>
              <w:pStyle w:val="13"/>
              <w:adjustRightInd w:val="0"/>
              <w:snapToGrid w:val="0"/>
              <w:spacing w:line="300" w:lineRule="auto"/>
              <w:jc w:val="center"/>
              <w:rPr>
                <w:rFonts w:hAnsi="宋体"/>
                <w:sz w:val="24"/>
                <w:szCs w:val="24"/>
              </w:rPr>
            </w:pPr>
            <w:r>
              <w:rPr>
                <w:rFonts w:hint="eastAsia" w:hAnsi="宋体"/>
                <w:sz w:val="24"/>
                <w:szCs w:val="24"/>
              </w:rPr>
              <w:t>中标价</w:t>
            </w:r>
          </w:p>
        </w:tc>
        <w:tc>
          <w:tcPr>
            <w:tcW w:w="1046" w:type="dxa"/>
            <w:vAlign w:val="center"/>
          </w:tcPr>
          <w:p>
            <w:pPr>
              <w:pStyle w:val="13"/>
              <w:adjustRightInd w:val="0"/>
              <w:snapToGrid w:val="0"/>
              <w:spacing w:line="300" w:lineRule="auto"/>
              <w:jc w:val="center"/>
              <w:rPr>
                <w:rFonts w:hAnsi="宋体"/>
                <w:sz w:val="24"/>
                <w:szCs w:val="24"/>
              </w:rPr>
            </w:pPr>
            <w:r>
              <w:rPr>
                <w:rFonts w:hint="eastAsia" w:hAnsi="宋体"/>
                <w:sz w:val="24"/>
                <w:szCs w:val="24"/>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3"/>
              <w:adjustRightInd w:val="0"/>
              <w:snapToGrid w:val="0"/>
              <w:spacing w:line="300" w:lineRule="auto"/>
              <w:jc w:val="center"/>
              <w:rPr>
                <w:rFonts w:hAnsi="宋体"/>
                <w:b/>
                <w:bCs/>
                <w:sz w:val="24"/>
                <w:szCs w:val="24"/>
              </w:rPr>
            </w:pPr>
          </w:p>
        </w:tc>
        <w:tc>
          <w:tcPr>
            <w:tcW w:w="1044" w:type="dxa"/>
            <w:gridSpan w:val="2"/>
            <w:vAlign w:val="center"/>
          </w:tcPr>
          <w:p>
            <w:pPr>
              <w:pStyle w:val="13"/>
              <w:adjustRightInd w:val="0"/>
              <w:snapToGrid w:val="0"/>
              <w:spacing w:line="300" w:lineRule="auto"/>
              <w:jc w:val="center"/>
              <w:rPr>
                <w:rFonts w:hAnsi="宋体"/>
                <w:b/>
                <w:bCs/>
                <w:sz w:val="24"/>
                <w:szCs w:val="24"/>
              </w:rPr>
            </w:pPr>
          </w:p>
        </w:tc>
        <w:tc>
          <w:tcPr>
            <w:tcW w:w="2611" w:type="dxa"/>
            <w:gridSpan w:val="4"/>
            <w:vAlign w:val="center"/>
          </w:tcPr>
          <w:p>
            <w:pPr>
              <w:pStyle w:val="13"/>
              <w:adjustRightInd w:val="0"/>
              <w:snapToGrid w:val="0"/>
              <w:spacing w:line="300" w:lineRule="auto"/>
              <w:jc w:val="center"/>
              <w:rPr>
                <w:rFonts w:hAnsi="宋体"/>
                <w:b/>
                <w:bCs/>
                <w:sz w:val="24"/>
                <w:szCs w:val="24"/>
              </w:rPr>
            </w:pPr>
          </w:p>
        </w:tc>
        <w:tc>
          <w:tcPr>
            <w:tcW w:w="1958" w:type="dxa"/>
            <w:gridSpan w:val="3"/>
            <w:vAlign w:val="center"/>
          </w:tcPr>
          <w:p>
            <w:pPr>
              <w:pStyle w:val="13"/>
              <w:adjustRightInd w:val="0"/>
              <w:snapToGrid w:val="0"/>
              <w:spacing w:line="300" w:lineRule="auto"/>
              <w:jc w:val="center"/>
              <w:rPr>
                <w:rFonts w:hAnsi="宋体"/>
                <w:b/>
                <w:bCs/>
                <w:sz w:val="24"/>
                <w:szCs w:val="24"/>
              </w:rPr>
            </w:pPr>
          </w:p>
        </w:tc>
        <w:tc>
          <w:tcPr>
            <w:tcW w:w="1046" w:type="dxa"/>
            <w:vAlign w:val="center"/>
          </w:tcPr>
          <w:p>
            <w:pPr>
              <w:pStyle w:val="13"/>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3"/>
              <w:adjustRightInd w:val="0"/>
              <w:snapToGrid w:val="0"/>
              <w:spacing w:line="300" w:lineRule="auto"/>
              <w:jc w:val="center"/>
              <w:rPr>
                <w:rFonts w:hAnsi="宋体"/>
                <w:b/>
                <w:bCs/>
                <w:sz w:val="24"/>
                <w:szCs w:val="24"/>
              </w:rPr>
            </w:pPr>
          </w:p>
        </w:tc>
        <w:tc>
          <w:tcPr>
            <w:tcW w:w="1044" w:type="dxa"/>
            <w:gridSpan w:val="2"/>
            <w:vAlign w:val="center"/>
          </w:tcPr>
          <w:p>
            <w:pPr>
              <w:pStyle w:val="13"/>
              <w:adjustRightInd w:val="0"/>
              <w:snapToGrid w:val="0"/>
              <w:spacing w:line="300" w:lineRule="auto"/>
              <w:jc w:val="center"/>
              <w:rPr>
                <w:rFonts w:hAnsi="宋体"/>
                <w:b/>
                <w:bCs/>
                <w:sz w:val="24"/>
                <w:szCs w:val="24"/>
              </w:rPr>
            </w:pPr>
          </w:p>
        </w:tc>
        <w:tc>
          <w:tcPr>
            <w:tcW w:w="2611" w:type="dxa"/>
            <w:gridSpan w:val="4"/>
            <w:vAlign w:val="center"/>
          </w:tcPr>
          <w:p>
            <w:pPr>
              <w:pStyle w:val="13"/>
              <w:adjustRightInd w:val="0"/>
              <w:snapToGrid w:val="0"/>
              <w:spacing w:line="300" w:lineRule="auto"/>
              <w:jc w:val="center"/>
              <w:rPr>
                <w:rFonts w:hAnsi="宋体"/>
                <w:b/>
                <w:bCs/>
                <w:sz w:val="24"/>
                <w:szCs w:val="24"/>
              </w:rPr>
            </w:pPr>
          </w:p>
        </w:tc>
        <w:tc>
          <w:tcPr>
            <w:tcW w:w="1958" w:type="dxa"/>
            <w:gridSpan w:val="3"/>
            <w:vAlign w:val="center"/>
          </w:tcPr>
          <w:p>
            <w:pPr>
              <w:pStyle w:val="13"/>
              <w:adjustRightInd w:val="0"/>
              <w:snapToGrid w:val="0"/>
              <w:spacing w:line="300" w:lineRule="auto"/>
              <w:jc w:val="center"/>
              <w:rPr>
                <w:rFonts w:hAnsi="宋体"/>
                <w:b/>
                <w:bCs/>
                <w:sz w:val="24"/>
                <w:szCs w:val="24"/>
              </w:rPr>
            </w:pPr>
          </w:p>
        </w:tc>
        <w:tc>
          <w:tcPr>
            <w:tcW w:w="1046" w:type="dxa"/>
            <w:vAlign w:val="center"/>
          </w:tcPr>
          <w:p>
            <w:pPr>
              <w:pStyle w:val="13"/>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3"/>
              <w:adjustRightInd w:val="0"/>
              <w:snapToGrid w:val="0"/>
              <w:spacing w:line="300" w:lineRule="auto"/>
              <w:jc w:val="center"/>
              <w:rPr>
                <w:rFonts w:hAnsi="宋体"/>
                <w:b/>
                <w:bCs/>
                <w:sz w:val="24"/>
                <w:szCs w:val="24"/>
              </w:rPr>
            </w:pPr>
          </w:p>
        </w:tc>
        <w:tc>
          <w:tcPr>
            <w:tcW w:w="1044" w:type="dxa"/>
            <w:gridSpan w:val="2"/>
            <w:vAlign w:val="center"/>
          </w:tcPr>
          <w:p>
            <w:pPr>
              <w:pStyle w:val="13"/>
              <w:adjustRightInd w:val="0"/>
              <w:snapToGrid w:val="0"/>
              <w:spacing w:line="300" w:lineRule="auto"/>
              <w:jc w:val="center"/>
              <w:rPr>
                <w:rFonts w:hAnsi="宋体"/>
                <w:b/>
                <w:bCs/>
                <w:sz w:val="24"/>
                <w:szCs w:val="24"/>
              </w:rPr>
            </w:pPr>
          </w:p>
        </w:tc>
        <w:tc>
          <w:tcPr>
            <w:tcW w:w="2611" w:type="dxa"/>
            <w:gridSpan w:val="4"/>
            <w:vAlign w:val="center"/>
          </w:tcPr>
          <w:p>
            <w:pPr>
              <w:pStyle w:val="13"/>
              <w:adjustRightInd w:val="0"/>
              <w:snapToGrid w:val="0"/>
              <w:spacing w:line="300" w:lineRule="auto"/>
              <w:jc w:val="center"/>
              <w:rPr>
                <w:rFonts w:hAnsi="宋体"/>
                <w:b/>
                <w:bCs/>
                <w:sz w:val="24"/>
                <w:szCs w:val="24"/>
              </w:rPr>
            </w:pPr>
          </w:p>
        </w:tc>
        <w:tc>
          <w:tcPr>
            <w:tcW w:w="1958" w:type="dxa"/>
            <w:gridSpan w:val="3"/>
            <w:vAlign w:val="center"/>
          </w:tcPr>
          <w:p>
            <w:pPr>
              <w:pStyle w:val="13"/>
              <w:adjustRightInd w:val="0"/>
              <w:snapToGrid w:val="0"/>
              <w:spacing w:line="300" w:lineRule="auto"/>
              <w:jc w:val="center"/>
              <w:rPr>
                <w:rFonts w:hAnsi="宋体"/>
                <w:b/>
                <w:bCs/>
                <w:sz w:val="24"/>
                <w:szCs w:val="24"/>
              </w:rPr>
            </w:pPr>
          </w:p>
        </w:tc>
        <w:tc>
          <w:tcPr>
            <w:tcW w:w="1046" w:type="dxa"/>
            <w:vAlign w:val="center"/>
          </w:tcPr>
          <w:p>
            <w:pPr>
              <w:pStyle w:val="13"/>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957" w:type="dxa"/>
            <w:gridSpan w:val="3"/>
            <w:vAlign w:val="center"/>
          </w:tcPr>
          <w:p>
            <w:pPr>
              <w:pStyle w:val="13"/>
              <w:adjustRightInd w:val="0"/>
              <w:snapToGrid w:val="0"/>
              <w:spacing w:line="300" w:lineRule="auto"/>
              <w:jc w:val="center"/>
              <w:rPr>
                <w:rFonts w:hAnsi="宋体"/>
                <w:b/>
                <w:bCs/>
                <w:sz w:val="24"/>
                <w:szCs w:val="24"/>
              </w:rPr>
            </w:pPr>
          </w:p>
        </w:tc>
        <w:tc>
          <w:tcPr>
            <w:tcW w:w="1044" w:type="dxa"/>
            <w:gridSpan w:val="2"/>
            <w:vAlign w:val="center"/>
          </w:tcPr>
          <w:p>
            <w:pPr>
              <w:pStyle w:val="13"/>
              <w:adjustRightInd w:val="0"/>
              <w:snapToGrid w:val="0"/>
              <w:spacing w:line="300" w:lineRule="auto"/>
              <w:jc w:val="center"/>
              <w:rPr>
                <w:rFonts w:hAnsi="宋体"/>
                <w:b/>
                <w:bCs/>
                <w:sz w:val="24"/>
                <w:szCs w:val="24"/>
              </w:rPr>
            </w:pPr>
          </w:p>
        </w:tc>
        <w:tc>
          <w:tcPr>
            <w:tcW w:w="2611" w:type="dxa"/>
            <w:gridSpan w:val="4"/>
            <w:vAlign w:val="center"/>
          </w:tcPr>
          <w:p>
            <w:pPr>
              <w:pStyle w:val="13"/>
              <w:adjustRightInd w:val="0"/>
              <w:snapToGrid w:val="0"/>
              <w:spacing w:line="300" w:lineRule="auto"/>
              <w:jc w:val="center"/>
              <w:rPr>
                <w:rFonts w:hAnsi="宋体"/>
                <w:b/>
                <w:bCs/>
                <w:sz w:val="24"/>
                <w:szCs w:val="24"/>
              </w:rPr>
            </w:pPr>
          </w:p>
        </w:tc>
        <w:tc>
          <w:tcPr>
            <w:tcW w:w="1958" w:type="dxa"/>
            <w:gridSpan w:val="3"/>
            <w:vAlign w:val="center"/>
          </w:tcPr>
          <w:p>
            <w:pPr>
              <w:pStyle w:val="13"/>
              <w:adjustRightInd w:val="0"/>
              <w:snapToGrid w:val="0"/>
              <w:spacing w:line="300" w:lineRule="auto"/>
              <w:jc w:val="center"/>
              <w:rPr>
                <w:rFonts w:hAnsi="宋体"/>
                <w:b/>
                <w:bCs/>
                <w:sz w:val="24"/>
                <w:szCs w:val="24"/>
              </w:rPr>
            </w:pPr>
          </w:p>
        </w:tc>
        <w:tc>
          <w:tcPr>
            <w:tcW w:w="1046" w:type="dxa"/>
            <w:vAlign w:val="center"/>
          </w:tcPr>
          <w:p>
            <w:pPr>
              <w:pStyle w:val="13"/>
              <w:adjustRightInd w:val="0"/>
              <w:snapToGrid w:val="0"/>
              <w:spacing w:line="300" w:lineRule="auto"/>
              <w:jc w:val="center"/>
              <w:rPr>
                <w:rFonts w:hAnsi="宋体"/>
                <w:b/>
                <w:bCs/>
                <w:sz w:val="24"/>
                <w:szCs w:val="24"/>
              </w:rPr>
            </w:pPr>
          </w:p>
        </w:tc>
      </w:tr>
    </w:tbl>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r>
        <w:rPr>
          <w:rFonts w:hint="eastAsia" w:ascii="宋体" w:hAnsi="宋体"/>
          <w:b/>
          <w:sz w:val="28"/>
          <w:szCs w:val="28"/>
        </w:rPr>
        <w:t>参加本项目人员一览</w:t>
      </w:r>
      <w:bookmarkEnd w:id="113"/>
      <w:bookmarkEnd w:id="114"/>
      <w:r>
        <w:rPr>
          <w:rFonts w:hint="eastAsia" w:ascii="宋体" w:hAnsi="宋体"/>
          <w:b/>
          <w:sz w:val="28"/>
          <w:szCs w:val="28"/>
        </w:rPr>
        <w:t>表</w:t>
      </w:r>
    </w:p>
    <w:p>
      <w:pPr>
        <w:snapToGrid w:val="0"/>
        <w:spacing w:line="360" w:lineRule="auto"/>
        <w:rPr>
          <w:rFonts w:ascii="宋体" w:hAnsi="宋体" w:cs="宋体"/>
          <w:sz w:val="24"/>
        </w:rPr>
      </w:pP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746125</wp:posOffset>
                </wp:positionH>
                <wp:positionV relativeFrom="paragraph">
                  <wp:posOffset>219710</wp:posOffset>
                </wp:positionV>
                <wp:extent cx="1317625" cy="0"/>
                <wp:effectExtent l="0" t="0" r="34925" b="19050"/>
                <wp:wrapNone/>
                <wp:docPr id="2" name="直接箭头连接符 2"/>
                <wp:cNvGraphicFramePr/>
                <a:graphic xmlns:a="http://schemas.openxmlformats.org/drawingml/2006/main">
                  <a:graphicData uri="http://schemas.microsoft.com/office/word/2010/wordprocessingShape">
                    <wps:wsp>
                      <wps:cNvCnPr/>
                      <wps:spPr>
                        <a:xfrm>
                          <a:off x="0" y="0"/>
                          <a:ext cx="13176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8.75pt;margin-top:17.3pt;height:0pt;width:103.75pt;z-index:251662336;mso-width-relative:page;mso-height-relative:page;" filled="f" stroked="t" coordsize="21600,21600" o:gfxdata="UEsDBAoAAAAAAIdO4kAAAAAAAAAAAAAAAAAEAAAAZHJzL1BLAwQUAAAACACHTuJACihurtcAAAAJ&#10;AQAADwAAAGRycy9kb3ducmV2LnhtbE2PzU7DMBCE70i8g7VIXBC1kzYFQpwKIXHosT8SVzdekkC8&#10;jmKnKX36LuIAx5n9NDtTrE6uE0ccQutJQzJTIJAqb1uqNex3b/ePIEI0ZE3nCTV8Y4BVeX1VmNz6&#10;iTZ43MZacAiF3GhoYuxzKUPVoDNh5nskvn34wZnIcqilHczE4a6TqVJL6UxL/KExPb42WH1tR6cB&#10;w5gl6uXJ1fv1ebp7T8+fU7/T+vYmUc8gIp7iHww/9bk6lNzp4EeyQXSsk4eMUQ3zxRIEA/M043GH&#10;X0OWhfy/oLwAUEsDBBQAAAAIAIdO4kAAT/KuAQIAAPoDAAAOAAAAZHJzL2Uyb0RvYy54bWytU81u&#10;EzEQviPxDpbvZJOgFrrKpoeEckEQCXiAide7a8l/8rjZ5CV4ASROwAl66p2noeUxGHvTUMolB/bg&#10;nfF4vpnv83h2vjWabWRA5WzFJ6MxZ9IKVyvbVvz9u4snzznDCLYG7ays+E4iP58/fjTrfSmnrnO6&#10;loERiMWy9xXvYvRlUaDopAEcOS8tBRsXDERyQ1vUAXpCN7qYjsenRe9C7YMTEpF2l0OQ7xHDMYCu&#10;aZSQSycujbRxQA1SQyRK2CmPfJ67bRop4pumQRmZrjgxjXmlImSv01rMZ1C2AXynxL4FOKaFB5wM&#10;KEtFD1BLiMAug/oHyigRHLomjoQzxUAkK0IsJuMH2rztwMvMhaRGfxAd/x+seL1ZBabqik85s2Do&#10;wm8/Xt98+HJ79f3n5+tfPz4l+9tXNk1S9R5LyljYVdh76Fch8d42waQ/MWLbLO/uIK/cRiZoc/J0&#10;8ux0esKZuIsVfxJ9wPhSOsOSUXGMAVTbxYWzli7RhUmWFzavMFJpSrxLSFW1ZX3Fz04yONBQNjQM&#10;VMd4Ioa2zbnotKovlNYpA0O7XujANpAGI3+JIOH+dSwVWQJ2w7kcGkamk1C/sDWLO0+SWXopPLVg&#10;ZM2ZlvSwkkWAUEZQ+piTVFrblCDz2O55JsUHjZO1dvUuS18kj0Yid7wf3zRz932y7z/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KG6u1wAAAAkBAAAPAAAAAAAAAAEAIAAAACIAAABkcnMvZG93&#10;bnJldi54bWxQSwECFAAUAAAACACHTuJAAE/yrgECAAD6AwAADgAAAAAAAAABACAAAAAmAQAAZHJz&#10;L2Uyb0RvYy54bWxQSwUGAAAAAAYABgBZAQAAmQUAAAAA&#10;">
                <v:fill on="f" focussize="0,0"/>
                <v:stroke color="#000000" joinstyle="round"/>
                <v:imagedata o:title=""/>
                <o:lock v:ext="edit" aspectratio="f"/>
              </v:shape>
            </w:pict>
          </mc:Fallback>
        </mc:AlternateContent>
      </w:r>
      <w:r>
        <w:rPr>
          <w:rFonts w:hint="eastAsia" w:ascii="宋体" w:hAnsi="宋体" w:cs="宋体"/>
          <w:sz w:val="24"/>
        </w:rPr>
        <w:t>招标编号：</w:t>
      </w:r>
      <w:r>
        <w:rPr>
          <w:rFonts w:ascii="宋体" w:hAnsi="宋体" w:cs="宋体"/>
          <w:sz w:val="24"/>
        </w:rPr>
        <w:t xml:space="preserve"> </w:t>
      </w:r>
    </w:p>
    <w:tbl>
      <w:tblPr>
        <w:tblStyle w:val="20"/>
        <w:tblW w:w="88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
        <w:gridCol w:w="882"/>
        <w:gridCol w:w="882"/>
        <w:gridCol w:w="882"/>
        <w:gridCol w:w="882"/>
        <w:gridCol w:w="882"/>
        <w:gridCol w:w="882"/>
        <w:gridCol w:w="882"/>
        <w:gridCol w:w="882"/>
        <w:gridCol w:w="8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序号</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姓名</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性别</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年龄</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毕业学校和学历</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职称</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专业培训及证书</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责任</w:t>
            </w:r>
          </w:p>
          <w:p>
            <w:pPr>
              <w:tabs>
                <w:tab w:val="left" w:pos="9765"/>
              </w:tabs>
              <w:snapToGrid w:val="0"/>
              <w:spacing w:line="360" w:lineRule="auto"/>
              <w:jc w:val="center"/>
              <w:rPr>
                <w:rFonts w:ascii="宋体" w:hAnsi="宋体" w:cs="宋体"/>
                <w:sz w:val="24"/>
              </w:rPr>
            </w:pPr>
            <w:r>
              <w:rPr>
                <w:rFonts w:hint="eastAsia" w:ascii="宋体" w:hAnsi="宋体" w:cs="宋体"/>
                <w:sz w:val="24"/>
              </w:rPr>
              <w:t>或分工</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项目经历或主要工作</w:t>
            </w:r>
          </w:p>
          <w:p>
            <w:pPr>
              <w:tabs>
                <w:tab w:val="left" w:pos="9765"/>
              </w:tabs>
              <w:snapToGrid w:val="0"/>
              <w:spacing w:line="360" w:lineRule="auto"/>
              <w:jc w:val="center"/>
              <w:rPr>
                <w:rFonts w:ascii="宋体" w:hAnsi="宋体" w:cs="宋体"/>
                <w:sz w:val="24"/>
              </w:rPr>
            </w:pPr>
            <w:r>
              <w:rPr>
                <w:rFonts w:hint="eastAsia" w:ascii="宋体" w:hAnsi="宋体" w:cs="宋体"/>
                <w:sz w:val="24"/>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bl>
    <w:p>
      <w:pPr>
        <w:tabs>
          <w:tab w:val="left" w:pos="9765"/>
        </w:tabs>
        <w:autoSpaceDE w:val="0"/>
        <w:autoSpaceDN w:val="0"/>
        <w:adjustRightInd w:val="0"/>
        <w:snapToGrid w:val="0"/>
        <w:spacing w:line="360" w:lineRule="auto"/>
        <w:rPr>
          <w:rFonts w:ascii="宋体" w:hAnsi="宋体" w:cs="宋体"/>
          <w:b/>
          <w:sz w:val="24"/>
        </w:rPr>
      </w:pPr>
      <w:r>
        <w:rPr>
          <w:rFonts w:hint="eastAsia" w:ascii="宋体" w:hAnsi="宋体" w:cs="宋体"/>
          <w:b/>
          <w:sz w:val="24"/>
        </w:rPr>
        <w:t>格式自拟</w:t>
      </w:r>
    </w:p>
    <w:p>
      <w:pPr>
        <w:tabs>
          <w:tab w:val="left" w:pos="9765"/>
        </w:tabs>
        <w:autoSpaceDE w:val="0"/>
        <w:autoSpaceDN w:val="0"/>
        <w:adjustRightInd w:val="0"/>
        <w:snapToGrid w:val="0"/>
        <w:spacing w:line="360" w:lineRule="auto"/>
        <w:rPr>
          <w:rFonts w:ascii="宋体" w:hAnsi="宋体" w:cs="宋体"/>
          <w:b/>
          <w:sz w:val="24"/>
        </w:rPr>
      </w:pPr>
      <w:r>
        <w:rPr>
          <w:rFonts w:hint="eastAsia" w:ascii="宋体" w:hAnsi="宋体" w:cs="宋体"/>
          <w:b/>
          <w:sz w:val="24"/>
          <w:lang w:val="zh-CN"/>
        </w:rPr>
        <w:t>注：参加本项目人员须是投标</w:t>
      </w:r>
      <w:r>
        <w:rPr>
          <w:rFonts w:hint="eastAsia" w:ascii="宋体" w:hAnsi="宋体" w:cs="宋体"/>
          <w:b/>
          <w:sz w:val="24"/>
        </w:rPr>
        <w:t>单位</w:t>
      </w:r>
      <w:r>
        <w:rPr>
          <w:rFonts w:hint="eastAsia" w:ascii="宋体" w:hAnsi="宋体" w:cs="宋体"/>
          <w:b/>
          <w:sz w:val="24"/>
          <w:lang w:val="zh-CN"/>
        </w:rPr>
        <w:t>正式职工，</w:t>
      </w:r>
      <w:r>
        <w:rPr>
          <w:rFonts w:hint="eastAsia" w:ascii="宋体" w:hAnsi="宋体" w:cs="宋体"/>
          <w:b/>
          <w:sz w:val="24"/>
        </w:rPr>
        <w:t>需提供社保缴纳记录</w:t>
      </w:r>
      <w:r>
        <w:rPr>
          <w:rFonts w:hint="eastAsia" w:ascii="宋体" w:hAnsi="宋体" w:cs="宋体"/>
          <w:b/>
          <w:sz w:val="24"/>
          <w:lang w:val="zh-CN"/>
        </w:rPr>
        <w:t>。</w:t>
      </w:r>
    </w:p>
    <w:p>
      <w:pPr>
        <w:widowControl/>
        <w:snapToGrid w:val="0"/>
        <w:spacing w:line="360" w:lineRule="auto"/>
        <w:rPr>
          <w:rFonts w:ascii="宋体" w:hAnsi="宋体" w:cs="Arial"/>
          <w:kern w:val="0"/>
          <w:sz w:val="24"/>
        </w:rPr>
      </w:pPr>
      <w:r>
        <w:rPr>
          <w:rFonts w:hint="eastAsia" w:ascii="宋体" w:hAnsi="宋体" w:cs="Arial"/>
          <w:kern w:val="0"/>
          <w:sz w:val="24"/>
        </w:rPr>
        <w:t>投标人名称（公章）：</w:t>
      </w:r>
    </w:p>
    <w:p>
      <w:pPr>
        <w:snapToGrid w:val="0"/>
        <w:spacing w:line="360" w:lineRule="auto"/>
        <w:rPr>
          <w:rFonts w:ascii="宋体" w:hAnsi="宋体"/>
          <w:sz w:val="24"/>
        </w:rPr>
      </w:pPr>
      <w:r>
        <w:rPr>
          <w:rFonts w:hint="eastAsia" w:ascii="宋体" w:hAnsi="宋体"/>
          <w:sz w:val="24"/>
        </w:rPr>
        <w:t>法定代表人或代理人（签字或盖章）：</w:t>
      </w:r>
    </w:p>
    <w:p>
      <w:pPr>
        <w:pStyle w:val="5"/>
        <w:snapToGrid w:val="0"/>
        <w:spacing w:line="360" w:lineRule="auto"/>
        <w:rPr>
          <w:rFonts w:ascii="宋体" w:hAnsi="宋体" w:eastAsia="宋体"/>
          <w:b/>
          <w:bCs/>
          <w:sz w:val="24"/>
        </w:rPr>
      </w:pPr>
      <w:r>
        <w:rPr>
          <w:rFonts w:ascii="宋体" w:hAnsi="宋体" w:eastAsia="宋体"/>
          <w:sz w:val="22"/>
        </w:rPr>
        <w:br w:type="page"/>
      </w:r>
      <w:bookmarkStart w:id="115" w:name="_Toc288738839"/>
      <w:bookmarkStart w:id="116" w:name="_Toc288738397"/>
      <w:r>
        <w:rPr>
          <w:rFonts w:hint="eastAsia" w:ascii="宋体" w:hAnsi="宋体" w:eastAsia="宋体"/>
          <w:b/>
          <w:sz w:val="24"/>
          <w:szCs w:val="24"/>
        </w:rPr>
        <w:t>附件八：</w:t>
      </w:r>
    </w:p>
    <w:p>
      <w:pPr>
        <w:spacing w:line="360" w:lineRule="auto"/>
        <w:jc w:val="center"/>
        <w:rPr>
          <w:rFonts w:ascii="宋体" w:hAnsi="宋体"/>
          <w:b/>
          <w:sz w:val="32"/>
          <w:szCs w:val="32"/>
        </w:rPr>
      </w:pPr>
      <w:r>
        <w:rPr>
          <w:rFonts w:hint="eastAsia" w:ascii="宋体" w:hAnsi="宋体"/>
          <w:b/>
          <w:sz w:val="32"/>
          <w:szCs w:val="32"/>
        </w:rPr>
        <w:t>相关业绩案例一览表</w:t>
      </w:r>
      <w:bookmarkEnd w:id="115"/>
      <w:bookmarkEnd w:id="116"/>
    </w:p>
    <w:p>
      <w:pPr>
        <w:snapToGrid w:val="0"/>
        <w:spacing w:line="360" w:lineRule="auto"/>
        <w:jc w:val="center"/>
        <w:rPr>
          <w:rFonts w:ascii="宋体" w:hAnsi="宋体"/>
          <w:b/>
          <w:sz w:val="28"/>
          <w:szCs w:val="30"/>
        </w:rPr>
      </w:pPr>
    </w:p>
    <w:p>
      <w:pPr>
        <w:snapToGrid w:val="0"/>
        <w:spacing w:line="360" w:lineRule="auto"/>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729615</wp:posOffset>
                </wp:positionH>
                <wp:positionV relativeFrom="paragraph">
                  <wp:posOffset>245745</wp:posOffset>
                </wp:positionV>
                <wp:extent cx="1233170" cy="0"/>
                <wp:effectExtent l="0" t="0" r="24130" b="19050"/>
                <wp:wrapNone/>
                <wp:docPr id="4" name="直接箭头连接符 4"/>
                <wp:cNvGraphicFramePr/>
                <a:graphic xmlns:a="http://schemas.openxmlformats.org/drawingml/2006/main">
                  <a:graphicData uri="http://schemas.microsoft.com/office/word/2010/wordprocessingShape">
                    <wps:wsp>
                      <wps:cNvCnPr/>
                      <wps:spPr>
                        <a:xfrm>
                          <a:off x="0" y="0"/>
                          <a:ext cx="12331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7.45pt;margin-top:19.35pt;height:0pt;width:97.1pt;z-index:251663360;mso-width-relative:page;mso-height-relative:page;" filled="f" stroked="t" coordsize="21600,21600" o:gfxdata="UEsDBAoAAAAAAIdO4kAAAAAAAAAAAAAAAAAEAAAAZHJzL1BLAwQUAAAACACHTuJANFWfM9YAAAAJ&#10;AQAADwAAAGRycy9kb3ducmV2LnhtbE2PwU7DMAyG70i8Q2QkLogl2YCtpemEkDhwZJvENWu8ttA4&#10;VZOuY0+PEQc4/van35+L9cl34ohDbAMZ0DMFAqkKrqXawG77crsCEZMlZ7tAaOALI6zLy4vC5i5M&#10;9IbHTaoFl1DMrYEmpT6XMlYNehtnoUfi3SEM3iaOQy3dYCcu952cK/UgvW2JLzS2x+cGq8/N6A1g&#10;HO+1esp8vXs9Tzfv8/PH1G+Nub7S6hFEwlP6g+FHn9WhZKd9GMlF0XHWdxmjBharJQgGFirTIPa/&#10;A1kW8v8H5TdQSwMEFAAAAAgAh07iQKJ3XCUDAgAA+gMAAA4AAABkcnMvZTJvRG9jLnhtbK1TzW4T&#10;MRC+I/EOlu9kk7TlZ5VNDwnlgiAS8AATr3fXkv/kcbPJS/ACSJyAE+XUO08D5TEYe9NQyiUH9uCd&#10;8Xi+me/zeHa+NZptZEDlbMUnozFn0gpXK9tW/N3bi0dPOcMItgbtrKz4TiI/nz98MOt9Kaeuc7qW&#10;gRGIxbL3Fe9i9GVRoOikARw5Ly0FGxcMRHJDW9QBekI3upiOx4+L3oXaByckIu0uhyDfI4ZjAF3T&#10;KCGXTlwaaeOAGqSGSJSwUx75PHfbNFLE102DMjJdcWIa80pFyF6ntZjPoGwD+E6JfQtwTAv3OBlQ&#10;looeoJYQgV0G9Q+UUSI4dE0cCWeKgUhWhFhMxve0edOBl5kLSY3+IDr+P1jxarMKTNUVP+XMgqEL&#10;v/lw/fP955tvVz8+Xf/6/jHZX7+w0yRV77GkjIVdhb2HfhUS720TTPoTI7bN8u4O8sptZII2J9OT&#10;k8kTUl7cxoo/iT5gfCGdYcmoOMYAqu3iwllLl+jCJMsLm5cYqTQl3iakqtqyvuLPzqZnBA40lA0N&#10;A5nGEzG0bc5Fp1V9obROGRja9UIHtoE0GPlLBAn3r2OpyBKwG87l0DAynYT6ua1Z3HmSzNJL4akF&#10;I2vOtKSHlSwChDKC0secpNLapgSZx3bPMyk+aJystat3WfoieTQSueP9+KaZu+uTfffJz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FWfM9YAAAAJAQAADwAAAAAAAAABACAAAAAiAAAAZHJzL2Rv&#10;d25yZXYueG1sUEsBAhQAFAAAAAgAh07iQKJ3XCUDAgAA+gMAAA4AAAAAAAAAAQAgAAAAJQEAAGRy&#10;cy9lMm9Eb2MueG1sUEsFBgAAAAAGAAYAWQEAAJoFAAAAAA==&#10;">
                <v:fill on="f" focussize="0,0"/>
                <v:stroke color="#000000" joinstyle="round"/>
                <v:imagedata o:title=""/>
                <o:lock v:ext="edit" aspectratio="f"/>
              </v:shape>
            </w:pict>
          </mc:Fallback>
        </mc:AlternateContent>
      </w:r>
      <w:r>
        <w:rPr>
          <w:rFonts w:hint="eastAsia" w:ascii="宋体" w:hAnsi="宋体" w:cs="宋体"/>
          <w:sz w:val="24"/>
          <w:szCs w:val="24"/>
        </w:rPr>
        <w:t>招标编号：</w:t>
      </w:r>
    </w:p>
    <w:tbl>
      <w:tblPr>
        <w:tblStyle w:val="20"/>
        <w:tblW w:w="0" w:type="auto"/>
        <w:jc w:val="center"/>
        <w:tblLayout w:type="fixed"/>
        <w:tblCellMar>
          <w:top w:w="0" w:type="dxa"/>
          <w:left w:w="108" w:type="dxa"/>
          <w:bottom w:w="0" w:type="dxa"/>
          <w:right w:w="108" w:type="dxa"/>
        </w:tblCellMar>
      </w:tblPr>
      <w:tblGrid>
        <w:gridCol w:w="794"/>
        <w:gridCol w:w="1521"/>
        <w:gridCol w:w="1198"/>
        <w:gridCol w:w="1730"/>
        <w:gridCol w:w="1597"/>
      </w:tblGrid>
      <w:tr>
        <w:tblPrEx>
          <w:tblCellMar>
            <w:top w:w="0" w:type="dxa"/>
            <w:left w:w="108" w:type="dxa"/>
            <w:bottom w:w="0" w:type="dxa"/>
            <w:right w:w="108" w:type="dxa"/>
          </w:tblCellMar>
        </w:tblPrEx>
        <w:trPr>
          <w:trHeight w:val="498" w:hRule="atLeast"/>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年度</w:t>
            </w: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联系电话</w:t>
            </w: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bl>
    <w:p>
      <w:pPr>
        <w:tabs>
          <w:tab w:val="left" w:pos="9765"/>
        </w:tabs>
        <w:autoSpaceDE w:val="0"/>
        <w:autoSpaceDN w:val="0"/>
        <w:adjustRightInd w:val="0"/>
        <w:snapToGrid w:val="0"/>
        <w:rPr>
          <w:rFonts w:ascii="宋体" w:hAnsi="宋体" w:cs="宋体"/>
          <w:sz w:val="24"/>
          <w:szCs w:val="24"/>
          <w:lang w:val="zh-CN"/>
        </w:rPr>
      </w:pPr>
    </w:p>
    <w:p>
      <w:pPr>
        <w:tabs>
          <w:tab w:val="left" w:pos="9765"/>
        </w:tabs>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lang w:val="zh-CN"/>
        </w:rPr>
        <w:t>注：附合同复印件</w:t>
      </w:r>
      <w:r>
        <w:rPr>
          <w:rFonts w:hint="eastAsia" w:ascii="宋体" w:hAnsi="宋体" w:cs="宋体"/>
          <w:b/>
          <w:bCs/>
          <w:sz w:val="24"/>
          <w:szCs w:val="24"/>
        </w:rPr>
        <w:t>加盖公章或</w:t>
      </w:r>
      <w:r>
        <w:rPr>
          <w:rFonts w:hint="eastAsia" w:ascii="宋体" w:hAnsi="宋体" w:cs="宋体"/>
          <w:b/>
          <w:bCs/>
          <w:sz w:val="24"/>
          <w:szCs w:val="24"/>
          <w:lang w:val="zh-CN"/>
        </w:rPr>
        <w:t>验收报告或用户证明</w:t>
      </w:r>
      <w:r>
        <w:rPr>
          <w:rFonts w:hint="eastAsia" w:ascii="宋体" w:hAnsi="宋体" w:cs="宋体"/>
          <w:b/>
          <w:bCs/>
          <w:sz w:val="24"/>
          <w:szCs w:val="24"/>
        </w:rPr>
        <w:t>并加盖公章</w:t>
      </w:r>
      <w:r>
        <w:rPr>
          <w:rFonts w:hint="eastAsia" w:ascii="宋体" w:hAnsi="宋体" w:cs="宋体"/>
          <w:b/>
          <w:bCs/>
          <w:sz w:val="24"/>
          <w:szCs w:val="24"/>
          <w:lang w:val="zh-CN"/>
        </w:rPr>
        <w:t>。</w:t>
      </w:r>
    </w:p>
    <w:p>
      <w:pPr>
        <w:snapToGrid w:val="0"/>
        <w:spacing w:line="360" w:lineRule="auto"/>
        <w:rPr>
          <w:rFonts w:ascii="宋体" w:hAnsi="宋体" w:cs="宋体"/>
          <w:sz w:val="24"/>
          <w:szCs w:val="24"/>
        </w:rPr>
      </w:pPr>
    </w:p>
    <w:p>
      <w:pPr>
        <w:widowControl/>
        <w:snapToGrid w:val="0"/>
        <w:spacing w:line="360" w:lineRule="auto"/>
        <w:rPr>
          <w:rFonts w:ascii="宋体" w:hAnsi="宋体" w:cs="宋体"/>
          <w:kern w:val="0"/>
          <w:sz w:val="24"/>
          <w:szCs w:val="24"/>
        </w:rPr>
      </w:pPr>
      <w:r>
        <w:rPr>
          <w:rFonts w:hint="eastAsia" w:ascii="宋体" w:hAnsi="宋体" w:cs="宋体"/>
          <w:kern w:val="0"/>
          <w:sz w:val="24"/>
          <w:szCs w:val="24"/>
        </w:rPr>
        <w:t>投标人名称（公章）：</w:t>
      </w:r>
    </w:p>
    <w:p>
      <w:pPr>
        <w:snapToGrid w:val="0"/>
        <w:spacing w:line="360" w:lineRule="auto"/>
        <w:rPr>
          <w:rFonts w:ascii="宋体" w:hAnsi="宋体" w:cs="宋体"/>
          <w:sz w:val="24"/>
          <w:szCs w:val="24"/>
        </w:rPr>
      </w:pPr>
      <w:r>
        <w:rPr>
          <w:rFonts w:hint="eastAsia" w:ascii="宋体" w:hAnsi="宋体" w:cs="宋体"/>
          <w:sz w:val="24"/>
          <w:szCs w:val="24"/>
        </w:rPr>
        <w:t>法定代表人或代理人（签字或盖章）：</w:t>
      </w:r>
    </w:p>
    <w:p>
      <w:pPr>
        <w:snapToGrid w:val="0"/>
        <w:spacing w:line="360" w:lineRule="auto"/>
        <w:rPr>
          <w:rFonts w:ascii="宋体" w:hAnsi="宋体"/>
          <w:sz w:val="22"/>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pStyle w:val="5"/>
        <w:snapToGrid w:val="0"/>
        <w:spacing w:line="360" w:lineRule="auto"/>
        <w:rPr>
          <w:rFonts w:ascii="宋体" w:hAnsi="宋体" w:eastAsia="宋体"/>
          <w:b/>
          <w:sz w:val="24"/>
          <w:szCs w:val="24"/>
        </w:rPr>
      </w:pPr>
      <w:r>
        <w:rPr>
          <w:rFonts w:hint="eastAsia" w:ascii="宋体" w:hAnsi="宋体" w:eastAsia="宋体"/>
          <w:b/>
          <w:sz w:val="24"/>
          <w:szCs w:val="24"/>
        </w:rPr>
        <w:t>附件九：</w:t>
      </w:r>
    </w:p>
    <w:p>
      <w:pPr>
        <w:spacing w:before="156" w:beforeLines="50" w:line="360" w:lineRule="auto"/>
        <w:jc w:val="center"/>
        <w:rPr>
          <w:rFonts w:ascii="宋体" w:hAnsi="宋体" w:cs="宋体"/>
          <w:b/>
          <w:sz w:val="24"/>
        </w:rPr>
      </w:pPr>
      <w:r>
        <w:rPr>
          <w:rFonts w:hint="eastAsia" w:ascii="宋体" w:hAnsi="宋体" w:cs="宋体"/>
          <w:b/>
          <w:sz w:val="24"/>
        </w:rPr>
        <w:t>技术参数（或服务要求标准）偏离表</w:t>
      </w:r>
    </w:p>
    <w:tbl>
      <w:tblPr>
        <w:tblStyle w:val="20"/>
        <w:tblW w:w="8284" w:type="dxa"/>
        <w:jc w:val="center"/>
        <w:tblLayout w:type="fixed"/>
        <w:tblCellMar>
          <w:top w:w="0" w:type="dxa"/>
          <w:left w:w="108" w:type="dxa"/>
          <w:bottom w:w="0" w:type="dxa"/>
          <w:right w:w="108" w:type="dxa"/>
        </w:tblCellMar>
      </w:tblPr>
      <w:tblGrid>
        <w:gridCol w:w="2482"/>
        <w:gridCol w:w="2158"/>
        <w:gridCol w:w="2100"/>
        <w:gridCol w:w="1544"/>
      </w:tblGrid>
      <w:tr>
        <w:tblPrEx>
          <w:tblCellMar>
            <w:top w:w="0" w:type="dxa"/>
            <w:left w:w="108" w:type="dxa"/>
            <w:bottom w:w="0" w:type="dxa"/>
            <w:right w:w="108" w:type="dxa"/>
          </w:tblCellMar>
        </w:tblPrEx>
        <w:trPr>
          <w:trHeight w:val="547" w:hRule="atLeast"/>
          <w:jc w:val="center"/>
        </w:trPr>
        <w:tc>
          <w:tcPr>
            <w:tcW w:w="2482"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设备名称</w:t>
            </w:r>
          </w:p>
        </w:tc>
        <w:tc>
          <w:tcPr>
            <w:tcW w:w="2158"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标书要求参数</w:t>
            </w:r>
          </w:p>
        </w:tc>
        <w:tc>
          <w:tcPr>
            <w:tcW w:w="2100"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投标参数</w:t>
            </w:r>
          </w:p>
        </w:tc>
        <w:tc>
          <w:tcPr>
            <w:tcW w:w="1544"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偏离值</w:t>
            </w:r>
          </w:p>
        </w:tc>
      </w:tr>
      <w:tr>
        <w:tblPrEx>
          <w:tblCellMar>
            <w:top w:w="0" w:type="dxa"/>
            <w:left w:w="108" w:type="dxa"/>
            <w:bottom w:w="0" w:type="dxa"/>
            <w:right w:w="108" w:type="dxa"/>
          </w:tblCellMar>
        </w:tblPrEx>
        <w:trPr>
          <w:trHeight w:val="511"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60"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35"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60"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2"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7"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49"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6"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292"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bl>
    <w:p>
      <w:pPr>
        <w:widowControl/>
        <w:snapToGrid w:val="0"/>
        <w:spacing w:before="156" w:beforeLines="50" w:line="360" w:lineRule="auto"/>
        <w:rPr>
          <w:rFonts w:ascii="宋体" w:hAnsi="宋体" w:cs="宋体"/>
          <w:kern w:val="0"/>
          <w:sz w:val="24"/>
        </w:rPr>
      </w:pPr>
    </w:p>
    <w:p>
      <w:pPr>
        <w:widowControl/>
        <w:snapToGrid w:val="0"/>
        <w:spacing w:before="156" w:beforeLines="50" w:line="360" w:lineRule="auto"/>
        <w:rPr>
          <w:rFonts w:ascii="宋体" w:hAnsi="宋体" w:cs="宋体"/>
          <w:kern w:val="0"/>
          <w:sz w:val="24"/>
        </w:rPr>
      </w:pPr>
      <w:r>
        <w:rPr>
          <w:rFonts w:hint="eastAsia" w:ascii="宋体" w:hAnsi="宋体" w:cs="宋体"/>
          <w:kern w:val="0"/>
          <w:sz w:val="24"/>
        </w:rPr>
        <w:t>供应商名称（公章）：</w:t>
      </w:r>
    </w:p>
    <w:p>
      <w:pPr>
        <w:snapToGrid w:val="0"/>
        <w:spacing w:before="156" w:beforeLines="50" w:line="360" w:lineRule="auto"/>
        <w:rPr>
          <w:rFonts w:ascii="宋体" w:hAnsi="宋体" w:cs="宋体"/>
          <w:sz w:val="24"/>
        </w:rPr>
      </w:pPr>
      <w:r>
        <w:rPr>
          <w:rFonts w:hint="eastAsia" w:ascii="宋体" w:hAnsi="宋体" w:cs="宋体"/>
          <w:sz w:val="24"/>
        </w:rPr>
        <w:t>法定代表人或代理人（签字或盖章）：</w:t>
      </w:r>
    </w:p>
    <w:p>
      <w:pPr>
        <w:snapToGrid w:val="0"/>
        <w:spacing w:before="156" w:beforeLines="50" w:line="360" w:lineRule="auto"/>
        <w:rPr>
          <w:rFonts w:ascii="宋体" w:hAnsi="宋体" w:cs="宋体"/>
          <w:sz w:val="24"/>
        </w:rPr>
      </w:pPr>
    </w:p>
    <w:p>
      <w:pPr>
        <w:adjustRightInd w:val="0"/>
        <w:snapToGrid w:val="0"/>
        <w:spacing w:before="156" w:beforeLines="50" w:line="360" w:lineRule="auto"/>
        <w:ind w:firstLine="480" w:firstLineChars="200"/>
        <w:rPr>
          <w:rFonts w:ascii="宋体" w:hAnsi="宋体" w:cs="宋体"/>
          <w:sz w:val="24"/>
        </w:rPr>
      </w:pPr>
      <w:r>
        <w:rPr>
          <w:rFonts w:hint="eastAsia" w:ascii="宋体" w:hAnsi="宋体" w:cs="宋体"/>
          <w:sz w:val="24"/>
        </w:rPr>
        <w:t>注：*1、</w:t>
      </w:r>
      <w:r>
        <w:rPr>
          <w:rFonts w:hint="eastAsia" w:ascii="宋体" w:hAnsi="宋体" w:cs="宋体"/>
          <w:sz w:val="24"/>
          <w:lang w:val="zh-CN"/>
        </w:rPr>
        <w:t>请各供应商按照以上表格形式逐项应答配置要求内容，在</w:t>
      </w:r>
      <w:r>
        <w:rPr>
          <w:rFonts w:hint="eastAsia" w:ascii="宋体" w:hAnsi="宋体" w:cs="宋体"/>
          <w:sz w:val="24"/>
        </w:rPr>
        <w:t>偏离值一栏内如实填写“无偏离、正偏离或负偏离”，货物类项目提供投标产品的彩页/样本/技术资料等。</w:t>
      </w:r>
    </w:p>
    <w:p>
      <w:pPr>
        <w:adjustRightInd w:val="0"/>
        <w:snapToGrid w:val="0"/>
        <w:spacing w:before="156" w:beforeLines="50" w:line="360" w:lineRule="auto"/>
        <w:ind w:firstLine="480" w:firstLineChars="200"/>
        <w:rPr>
          <w:rFonts w:ascii="宋体" w:hAnsi="宋体" w:cs="宋体"/>
          <w:sz w:val="24"/>
        </w:rPr>
      </w:pPr>
      <w:r>
        <w:rPr>
          <w:rFonts w:hint="eastAsia" w:ascii="宋体" w:hAnsi="宋体" w:cs="宋体"/>
          <w:sz w:val="24"/>
        </w:rPr>
        <w:t>*2、各供应商不得复制粘贴招标文件所列技术参数，必须如实填写产品品牌，提供所供产品的技术参数。如复制粘贴，或提供虚假技术参数，将作无实质性响应处理。</w:t>
      </w:r>
    </w:p>
    <w:p>
      <w:pPr>
        <w:spacing w:line="560" w:lineRule="exact"/>
        <w:ind w:firstLine="281" w:firstLineChars="100"/>
        <w:jc w:val="left"/>
        <w:rPr>
          <w:rFonts w:ascii="黑体" w:hAnsi="黑体" w:eastAsia="黑体"/>
          <w:b/>
          <w:sz w:val="28"/>
          <w:szCs w:val="28"/>
        </w:rPr>
      </w:pPr>
    </w:p>
    <w:p>
      <w:pPr>
        <w:spacing w:line="560" w:lineRule="exact"/>
        <w:ind w:firstLine="241" w:firstLineChars="100"/>
        <w:jc w:val="left"/>
        <w:rPr>
          <w:rFonts w:ascii="宋体" w:hAnsi="宋体"/>
          <w:b/>
          <w:kern w:val="0"/>
          <w:sz w:val="24"/>
          <w:szCs w:val="24"/>
        </w:rPr>
      </w:pPr>
      <w:r>
        <w:rPr>
          <w:rFonts w:hint="eastAsia" w:ascii="宋体" w:hAnsi="宋体"/>
          <w:b/>
          <w:kern w:val="0"/>
          <w:sz w:val="24"/>
          <w:szCs w:val="24"/>
        </w:rPr>
        <w:t>附件十：</w:t>
      </w:r>
    </w:p>
    <w:p>
      <w:pPr>
        <w:spacing w:line="360" w:lineRule="auto"/>
        <w:jc w:val="center"/>
        <w:rPr>
          <w:rFonts w:ascii="宋体" w:hAnsi="宋体" w:cs="宋体"/>
          <w:b/>
          <w:bCs/>
          <w:sz w:val="32"/>
          <w:szCs w:val="32"/>
        </w:rPr>
      </w:pPr>
      <w:r>
        <w:rPr>
          <w:rFonts w:hint="eastAsia" w:ascii="宋体" w:hAnsi="宋体" w:cs="宋体"/>
          <w:b/>
          <w:bCs/>
          <w:sz w:val="32"/>
          <w:szCs w:val="32"/>
        </w:rPr>
        <w:t>承诺函</w:t>
      </w:r>
    </w:p>
    <w:p>
      <w:pPr>
        <w:spacing w:line="360" w:lineRule="auto"/>
        <w:rPr>
          <w:rFonts w:ascii="宋体" w:hAnsi="宋体" w:cs="宋体"/>
          <w:sz w:val="24"/>
          <w:u w:val="single"/>
        </w:rPr>
      </w:pPr>
      <w:r>
        <w:rPr>
          <w:rFonts w:hint="eastAsia" w:ascii="宋体" w:hAnsi="宋体" w:cs="宋体"/>
          <w:sz w:val="24"/>
          <w:u w:val="single"/>
        </w:rPr>
        <w:t>江苏畅誉项目管理有限公司</w:t>
      </w:r>
    </w:p>
    <w:p>
      <w:pPr>
        <w:spacing w:line="360" w:lineRule="auto"/>
        <w:rPr>
          <w:rFonts w:ascii="宋体" w:hAnsi="宋体" w:cs="宋体"/>
          <w:sz w:val="24"/>
          <w:u w:val="single"/>
        </w:rPr>
      </w:pPr>
      <w:r>
        <w:rPr>
          <w:rFonts w:hint="eastAsia" w:ascii="宋体" w:hAnsi="宋体" w:cs="宋体"/>
          <w:sz w:val="24"/>
          <w:u w:val="single"/>
        </w:rPr>
        <w:t xml:space="preserve"> 常州市天宁区青龙街道勤业村股份经济合作社  ：</w:t>
      </w:r>
    </w:p>
    <w:p>
      <w:pPr>
        <w:spacing w:line="360" w:lineRule="auto"/>
        <w:ind w:firstLine="480"/>
        <w:rPr>
          <w:rFonts w:ascii="宋体" w:hAnsi="宋体" w:cs="宋体"/>
          <w:sz w:val="24"/>
        </w:rPr>
      </w:pPr>
      <w:r>
        <w:rPr>
          <w:rFonts w:hint="eastAsia" w:ascii="宋体" w:hAnsi="宋体" w:cs="宋体"/>
          <w:sz w:val="24"/>
        </w:rPr>
        <w:t>本公司愿意参加贵公司组织实施的编号</w:t>
      </w:r>
      <w:r>
        <w:rPr>
          <w:rFonts w:hint="eastAsia" w:ascii="宋体" w:hAnsi="宋体" w:cs="宋体"/>
          <w:sz w:val="24"/>
          <w:u w:val="single"/>
        </w:rPr>
        <w:t xml:space="preserve">                 </w:t>
      </w:r>
      <w:r>
        <w:rPr>
          <w:rFonts w:hint="eastAsia" w:ascii="宋体" w:hAnsi="宋体" w:cs="宋体"/>
          <w:sz w:val="24"/>
        </w:rPr>
        <w:t>的招投标采购活动。本公司承诺：</w:t>
      </w:r>
    </w:p>
    <w:p>
      <w:pPr>
        <w:spacing w:line="360" w:lineRule="auto"/>
        <w:ind w:firstLine="470" w:firstLineChars="196"/>
        <w:rPr>
          <w:rFonts w:ascii="宋体" w:hAnsi="宋体" w:cs="宋体"/>
          <w:sz w:val="24"/>
        </w:rPr>
      </w:pPr>
      <w:r>
        <w:rPr>
          <w:rFonts w:hint="eastAsia" w:ascii="宋体" w:hAnsi="宋体" w:cs="宋体"/>
          <w:sz w:val="24"/>
        </w:rPr>
        <w:t>1、本公司此次响应文件及附件材料的全部数据、内容均是真实有效的，此次响应文件提供的资料如有虚假，本公司愿接受建设行政主管部门及其他有关部门依法给予的处罚。</w:t>
      </w:r>
    </w:p>
    <w:p>
      <w:pPr>
        <w:spacing w:line="360" w:lineRule="auto"/>
        <w:ind w:firstLine="480" w:firstLineChars="200"/>
        <w:rPr>
          <w:rFonts w:ascii="宋体" w:hAnsi="宋体" w:cs="宋体"/>
          <w:sz w:val="24"/>
        </w:rPr>
      </w:pPr>
      <w:r>
        <w:rPr>
          <w:rFonts w:hint="eastAsia" w:ascii="宋体" w:hAnsi="宋体" w:cs="宋体"/>
          <w:sz w:val="24"/>
        </w:rPr>
        <w:t>2、本公司具有独立订立合同的能力；未处于被责令停业，投标资格被取消的状态；企业没有因骗取中标或者严重违约以及发生重大工程质量、安全事故等暂停投标资格并处在暂停期内。</w:t>
      </w:r>
    </w:p>
    <w:p>
      <w:pPr>
        <w:spacing w:line="360" w:lineRule="auto"/>
        <w:ind w:firstLine="480"/>
        <w:rPr>
          <w:rFonts w:ascii="宋体" w:hAnsi="宋体" w:cs="宋体"/>
          <w:sz w:val="24"/>
        </w:rPr>
      </w:pPr>
      <w:r>
        <w:rPr>
          <w:rFonts w:hint="eastAsia" w:ascii="宋体" w:hAnsi="宋体" w:cs="宋体"/>
          <w:sz w:val="24"/>
        </w:rPr>
        <w:t>若与真实情况不符，本公司愿意承担由此而产生的一切后果。</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2702" w:firstLineChars="1126"/>
        <w:rPr>
          <w:rFonts w:ascii="宋体" w:hAnsi="宋体" w:cs="宋体"/>
          <w:sz w:val="24"/>
        </w:rPr>
      </w:pPr>
      <w:r>
        <w:rPr>
          <w:rFonts w:hint="eastAsia" w:ascii="宋体" w:hAnsi="宋体" w:cs="宋体"/>
          <w:sz w:val="24"/>
        </w:rPr>
        <w:t>法定代表人或代理人（签字或盖章）：</w:t>
      </w:r>
    </w:p>
    <w:p>
      <w:pPr>
        <w:spacing w:line="360" w:lineRule="auto"/>
        <w:ind w:firstLine="2702" w:firstLineChars="1126"/>
        <w:rPr>
          <w:rFonts w:ascii="宋体" w:hAnsi="宋体" w:cs="宋体"/>
          <w:sz w:val="24"/>
        </w:rPr>
      </w:pPr>
      <w:r>
        <w:rPr>
          <w:rFonts w:hint="eastAsia" w:ascii="宋体" w:hAnsi="宋体" w:cs="宋体"/>
          <w:sz w:val="24"/>
        </w:rPr>
        <w:t>供应商（公章）：</w:t>
      </w: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jc w:val="left"/>
        <w:rPr>
          <w:rFonts w:ascii="宋体" w:hAnsi="宋体"/>
          <w:b/>
          <w:kern w:val="0"/>
          <w:sz w:val="24"/>
          <w:szCs w:val="24"/>
        </w:rPr>
      </w:pPr>
    </w:p>
    <w:p>
      <w:pPr>
        <w:spacing w:line="560" w:lineRule="exact"/>
        <w:jc w:val="left"/>
        <w:rPr>
          <w:rFonts w:ascii="宋体" w:hAnsi="宋体"/>
          <w:b/>
          <w:kern w:val="0"/>
          <w:sz w:val="24"/>
          <w:szCs w:val="24"/>
        </w:rPr>
      </w:pPr>
      <w:r>
        <w:rPr>
          <w:rFonts w:hint="eastAsia" w:ascii="宋体" w:hAnsi="宋体"/>
          <w:b/>
          <w:kern w:val="0"/>
          <w:sz w:val="24"/>
          <w:szCs w:val="24"/>
        </w:rPr>
        <w:t>附件十一：</w:t>
      </w:r>
    </w:p>
    <w:p>
      <w:pPr>
        <w:pStyle w:val="3"/>
        <w:rPr>
          <w:rFonts w:ascii="宋体" w:hAnsi="宋体"/>
          <w:b/>
          <w:kern w:val="0"/>
          <w:sz w:val="24"/>
          <w:szCs w:val="24"/>
        </w:rPr>
      </w:pPr>
    </w:p>
    <w:p>
      <w:pPr>
        <w:spacing w:line="560" w:lineRule="exact"/>
        <w:ind w:firstLine="281" w:firstLineChars="100"/>
        <w:jc w:val="center"/>
        <w:rPr>
          <w:rFonts w:ascii="黑体" w:hAnsi="黑体" w:eastAsia="黑体"/>
          <w:b/>
          <w:sz w:val="28"/>
          <w:szCs w:val="28"/>
        </w:rPr>
      </w:pPr>
      <w:r>
        <w:rPr>
          <w:rFonts w:hint="eastAsia" w:ascii="黑体" w:hAnsi="黑体" w:eastAsia="黑体"/>
          <w:b/>
          <w:sz w:val="28"/>
          <w:szCs w:val="28"/>
        </w:rPr>
        <w:t>参与此次招标项目的项目经理无在建项目承诺书</w:t>
      </w: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r>
        <w:rPr>
          <w:rFonts w:hint="eastAsia" w:ascii="黑体" w:hAnsi="黑体" w:eastAsia="黑体"/>
          <w:b/>
          <w:sz w:val="28"/>
          <w:szCs w:val="28"/>
        </w:rPr>
        <w:t>（格式自拟）</w:t>
      </w: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ind w:firstLine="281" w:firstLineChars="100"/>
        <w:jc w:val="center"/>
        <w:rPr>
          <w:rFonts w:ascii="黑体" w:hAnsi="黑体" w:eastAsia="黑体"/>
          <w:b/>
          <w:sz w:val="28"/>
          <w:szCs w:val="28"/>
        </w:rPr>
      </w:pPr>
    </w:p>
    <w:p>
      <w:pPr>
        <w:spacing w:line="560" w:lineRule="exact"/>
        <w:rPr>
          <w:rFonts w:ascii="黑体" w:hAnsi="黑体" w:eastAsia="黑体"/>
          <w:b/>
          <w:sz w:val="28"/>
          <w:szCs w:val="28"/>
        </w:rPr>
      </w:pPr>
    </w:p>
    <w:p>
      <w:pPr>
        <w:spacing w:line="560" w:lineRule="exact"/>
        <w:rPr>
          <w:rFonts w:ascii="黑体" w:hAnsi="黑体" w:eastAsia="黑体"/>
          <w:b/>
          <w:sz w:val="28"/>
          <w:szCs w:val="28"/>
        </w:rPr>
      </w:pPr>
      <w:r>
        <w:rPr>
          <w:rFonts w:hint="eastAsia" w:ascii="黑体" w:hAnsi="黑体" w:eastAsia="黑体"/>
          <w:b/>
          <w:sz w:val="28"/>
          <w:szCs w:val="28"/>
        </w:rPr>
        <w:t>附件十二：</w:t>
      </w:r>
    </w:p>
    <w:p>
      <w:pPr>
        <w:spacing w:line="560" w:lineRule="exact"/>
        <w:jc w:val="center"/>
        <w:rPr>
          <w:rFonts w:ascii="黑体" w:hAnsi="黑体" w:eastAsia="黑体"/>
          <w:b/>
          <w:sz w:val="28"/>
          <w:szCs w:val="28"/>
        </w:rPr>
      </w:pPr>
      <w:r>
        <w:rPr>
          <w:rFonts w:hint="eastAsia" w:ascii="黑体" w:hAnsi="黑体" w:eastAsia="黑体"/>
          <w:b/>
          <w:sz w:val="28"/>
          <w:szCs w:val="28"/>
        </w:rPr>
        <w:t>中小企业声明函</w:t>
      </w:r>
    </w:p>
    <w:p>
      <w:pPr>
        <w:spacing w:line="440" w:lineRule="exact"/>
        <w:ind w:firstLine="480" w:firstLineChars="200"/>
        <w:rPr>
          <w:rFonts w:ascii="宋体" w:hAnsi="宋体"/>
          <w:sz w:val="24"/>
          <w:szCs w:val="24"/>
        </w:rPr>
      </w:pPr>
      <w:r>
        <w:rPr>
          <w:rFonts w:hint="eastAsia" w:ascii="宋体" w:hAnsi="宋体"/>
          <w:sz w:val="24"/>
          <w:szCs w:val="24"/>
        </w:rPr>
        <w:t xml:space="preserve">本公司郑重声明，根据《政府采购促进中小企业发展暂行办法》（财库【2020】46号）的规定，本公司参加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（采购单位名称）</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30"/>
        <w:spacing w:line="440" w:lineRule="exact"/>
        <w:ind w:firstLine="480" w:firstLineChars="200"/>
        <w:rPr>
          <w:rFonts w:hAnsi="宋体"/>
          <w:kern w:val="2"/>
          <w:sz w:val="24"/>
          <w:szCs w:val="24"/>
        </w:rPr>
      </w:pPr>
      <w:r>
        <w:rPr>
          <w:rFonts w:hint="eastAsia" w:hAnsi="宋体"/>
          <w:kern w:val="2"/>
          <w:sz w:val="24"/>
          <w:szCs w:val="24"/>
        </w:rPr>
        <w:t>1、</w:t>
      </w:r>
      <w:r>
        <w:rPr>
          <w:rFonts w:hint="eastAsia" w:hAnsi="宋体"/>
          <w:kern w:val="2"/>
          <w:sz w:val="24"/>
          <w:szCs w:val="24"/>
          <w:u w:val="single"/>
        </w:rPr>
        <w:t xml:space="preserve">       </w:t>
      </w:r>
      <w:r>
        <w:rPr>
          <w:rFonts w:hint="eastAsia" w:hAnsi="宋体"/>
          <w:kern w:val="2"/>
          <w:sz w:val="24"/>
          <w:szCs w:val="24"/>
        </w:rPr>
        <w:t>（项目的名称），属于</w:t>
      </w:r>
      <w:r>
        <w:rPr>
          <w:rFonts w:hint="eastAsia" w:hAnsi="宋体"/>
          <w:kern w:val="2"/>
          <w:sz w:val="24"/>
          <w:szCs w:val="24"/>
          <w:u w:val="single"/>
        </w:rPr>
        <w:t xml:space="preserve">         </w:t>
      </w:r>
      <w:r>
        <w:rPr>
          <w:rFonts w:hint="eastAsia" w:hAnsi="宋体"/>
          <w:kern w:val="2"/>
          <w:sz w:val="24"/>
          <w:szCs w:val="24"/>
        </w:rPr>
        <w:t xml:space="preserve"> （采购文件中明确的所属行业），承接企业为</w:t>
      </w:r>
      <w:r>
        <w:rPr>
          <w:rFonts w:hint="eastAsia" w:hAnsi="宋体"/>
          <w:kern w:val="2"/>
          <w:sz w:val="24"/>
          <w:szCs w:val="24"/>
          <w:u w:val="single"/>
        </w:rPr>
        <w:t xml:space="preserve">         </w:t>
      </w:r>
      <w:r>
        <w:rPr>
          <w:rFonts w:hint="eastAsia" w:hAnsi="宋体"/>
          <w:kern w:val="2"/>
          <w:sz w:val="24"/>
          <w:szCs w:val="24"/>
        </w:rPr>
        <w:t>（企业名称），从业人员</w:t>
      </w:r>
      <w:r>
        <w:rPr>
          <w:rFonts w:hint="eastAsia" w:hAnsi="宋体"/>
          <w:kern w:val="2"/>
          <w:sz w:val="24"/>
          <w:szCs w:val="24"/>
          <w:u w:val="single"/>
        </w:rPr>
        <w:t xml:space="preserve">      </w:t>
      </w:r>
      <w:r>
        <w:rPr>
          <w:rFonts w:hint="eastAsia" w:hAnsi="宋体"/>
          <w:kern w:val="2"/>
          <w:sz w:val="24"/>
          <w:szCs w:val="24"/>
        </w:rPr>
        <w:t>人，营业收入为</w:t>
      </w:r>
      <w:r>
        <w:rPr>
          <w:rFonts w:hint="eastAsia" w:hAnsi="宋体"/>
          <w:kern w:val="2"/>
          <w:sz w:val="24"/>
          <w:szCs w:val="24"/>
          <w:u w:val="single"/>
        </w:rPr>
        <w:t xml:space="preserve">    </w:t>
      </w:r>
      <w:r>
        <w:rPr>
          <w:rFonts w:hint="eastAsia" w:hAnsi="宋体"/>
          <w:kern w:val="2"/>
          <w:sz w:val="24"/>
          <w:szCs w:val="24"/>
        </w:rPr>
        <w:t>万元，资产总额为</w:t>
      </w:r>
      <w:r>
        <w:rPr>
          <w:rFonts w:hint="eastAsia" w:hAnsi="宋体"/>
          <w:kern w:val="2"/>
          <w:sz w:val="24"/>
          <w:szCs w:val="24"/>
          <w:u w:val="single"/>
        </w:rPr>
        <w:t xml:space="preserve">     </w:t>
      </w:r>
      <w:r>
        <w:rPr>
          <w:rFonts w:hint="eastAsia" w:hAnsi="宋体"/>
          <w:kern w:val="2"/>
          <w:sz w:val="24"/>
          <w:szCs w:val="24"/>
        </w:rPr>
        <w:t>万元，属于</w:t>
      </w:r>
      <w:r>
        <w:rPr>
          <w:rFonts w:hint="eastAsia" w:hAnsi="宋体"/>
          <w:kern w:val="2"/>
          <w:sz w:val="24"/>
          <w:szCs w:val="24"/>
          <w:u w:val="single"/>
        </w:rPr>
        <w:t xml:space="preserve">      </w:t>
      </w:r>
      <w:r>
        <w:rPr>
          <w:rFonts w:hint="eastAsia" w:hAnsi="宋体"/>
          <w:kern w:val="2"/>
          <w:sz w:val="24"/>
          <w:szCs w:val="24"/>
        </w:rPr>
        <w:t>（中型企业、小型企业、微型企业）。</w:t>
      </w:r>
    </w:p>
    <w:p>
      <w:pPr>
        <w:pStyle w:val="30"/>
        <w:spacing w:line="440" w:lineRule="exact"/>
        <w:ind w:firstLine="480" w:firstLineChars="200"/>
        <w:rPr>
          <w:rFonts w:hAnsi="宋体"/>
          <w:kern w:val="2"/>
          <w:sz w:val="24"/>
          <w:szCs w:val="24"/>
        </w:rPr>
      </w:pPr>
      <w:r>
        <w:rPr>
          <w:rFonts w:hint="eastAsia" w:hAnsi="宋体"/>
          <w:kern w:val="2"/>
          <w:sz w:val="24"/>
          <w:szCs w:val="24"/>
        </w:rPr>
        <w:t>以上企业，不属于大企业的分支机构，不存在控股股东为大型企业的情形，也不存在与大型企业的负责人为同一人的情形。</w:t>
      </w:r>
    </w:p>
    <w:p>
      <w:pPr>
        <w:spacing w:line="560" w:lineRule="exact"/>
        <w:ind w:firstLine="480" w:firstLineChars="200"/>
        <w:rPr>
          <w:rFonts w:ascii="宋体" w:hAnsi="宋体"/>
          <w:sz w:val="24"/>
          <w:szCs w:val="24"/>
        </w:rPr>
      </w:pPr>
      <w:r>
        <w:rPr>
          <w:rFonts w:hint="eastAsia" w:ascii="宋体" w:hAnsi="宋体"/>
          <w:sz w:val="24"/>
          <w:szCs w:val="24"/>
        </w:rPr>
        <w:t>本公司对上述声明的真实性负责。如有虚假，将依法承担相应责任。</w:t>
      </w:r>
    </w:p>
    <w:p>
      <w:pPr>
        <w:spacing w:line="560" w:lineRule="exact"/>
        <w:ind w:firstLine="240" w:firstLineChars="100"/>
        <w:rPr>
          <w:rFonts w:ascii="宋体" w:hAnsi="宋体"/>
          <w:sz w:val="24"/>
          <w:szCs w:val="24"/>
        </w:rPr>
      </w:pPr>
      <w:r>
        <w:rPr>
          <w:rFonts w:hint="eastAsia" w:ascii="宋体" w:hAnsi="宋体"/>
          <w:sz w:val="24"/>
          <w:szCs w:val="24"/>
        </w:rPr>
        <w:t>企业名称</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hint="eastAsia" w:ascii="宋体" w:hAnsi="宋体"/>
          <w:sz w:val="24"/>
          <w:szCs w:val="24"/>
        </w:rPr>
        <w:t>：</w:t>
      </w:r>
    </w:p>
    <w:p>
      <w:pPr>
        <w:spacing w:line="560" w:lineRule="exact"/>
        <w:ind w:firstLine="240" w:firstLineChars="100"/>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spacing w:line="560" w:lineRule="exact"/>
        <w:rPr>
          <w:rFonts w:ascii="宋体" w:hAnsi="宋体"/>
          <w:b/>
          <w:sz w:val="24"/>
          <w:szCs w:val="24"/>
        </w:rPr>
      </w:pPr>
      <w:r>
        <w:rPr>
          <w:rFonts w:hint="eastAsia" w:ascii="宋体" w:hAnsi="宋体"/>
          <w:b/>
          <w:sz w:val="24"/>
          <w:szCs w:val="24"/>
        </w:rPr>
        <w:t>注：</w:t>
      </w:r>
    </w:p>
    <w:p>
      <w:pPr>
        <w:numPr>
          <w:ilvl w:val="0"/>
          <w:numId w:val="6"/>
        </w:numPr>
        <w:spacing w:line="560" w:lineRule="exact"/>
        <w:rPr>
          <w:rFonts w:ascii="宋体" w:hAnsi="宋体"/>
          <w:b/>
          <w:sz w:val="24"/>
          <w:szCs w:val="24"/>
        </w:rPr>
      </w:pPr>
      <w:r>
        <w:rPr>
          <w:rFonts w:hint="eastAsia" w:ascii="宋体" w:hAnsi="宋体"/>
          <w:b/>
          <w:sz w:val="24"/>
          <w:szCs w:val="24"/>
        </w:rPr>
        <w:t>供应商如属于以上情形的请提供。如不提供此声明函的，价格将不做相应扣除。</w:t>
      </w:r>
    </w:p>
    <w:p>
      <w:pPr>
        <w:spacing w:line="360" w:lineRule="auto"/>
        <w:ind w:firstLine="482" w:firstLineChars="200"/>
        <w:rPr>
          <w:rFonts w:ascii="宋体" w:hAnsi="宋体"/>
          <w:b/>
          <w:sz w:val="24"/>
          <w:szCs w:val="24"/>
        </w:rPr>
      </w:pPr>
      <w:r>
        <w:rPr>
          <w:rFonts w:ascii="宋体" w:hAnsi="宋体"/>
          <w:b/>
          <w:sz w:val="24"/>
          <w:szCs w:val="24"/>
        </w:rPr>
        <w:t>2、从业人员、营业收入、资产总额填报上一年度数据，无上一年度数据的新成立企业 可不填报。</w:t>
      </w:r>
    </w:p>
    <w:p>
      <w:pPr>
        <w:spacing w:line="360" w:lineRule="auto"/>
        <w:ind w:firstLine="482" w:firstLineChars="200"/>
        <w:rPr>
          <w:rFonts w:ascii="宋体" w:hAnsi="宋体"/>
          <w:b/>
          <w:sz w:val="24"/>
          <w:szCs w:val="24"/>
        </w:rPr>
      </w:pPr>
      <w:r>
        <w:rPr>
          <w:rFonts w:ascii="宋体" w:hAnsi="宋体"/>
          <w:b/>
          <w:sz w:val="24"/>
          <w:szCs w:val="24"/>
        </w:rPr>
        <w:t xml:space="preserve">3、微型企业提供小型企业制造或使用小型企业注册商标的产品的，视同为小型企业。 小型企业提供中大型企业制造或使用中大型企业注册商标的产品的，视同为中大型企业。 </w:t>
      </w:r>
    </w:p>
    <w:p>
      <w:pPr>
        <w:spacing w:line="360" w:lineRule="auto"/>
        <w:ind w:firstLine="482" w:firstLineChars="200"/>
        <w:rPr>
          <w:rFonts w:ascii="宋体" w:hAnsi="宋体"/>
          <w:b/>
          <w:sz w:val="24"/>
          <w:szCs w:val="24"/>
        </w:rPr>
      </w:pPr>
      <w:r>
        <w:rPr>
          <w:rFonts w:ascii="宋体" w:hAnsi="宋体"/>
          <w:b/>
          <w:sz w:val="24"/>
          <w:szCs w:val="24"/>
        </w:rPr>
        <w:t>4、若供应商提供的“中小企业声明函” 或认定证明为虚假声明则视同提供虚假材料， 按“政府采购法”相关规定处理并报请政府监管部门给予行政处罚。</w:t>
      </w:r>
    </w:p>
    <w:p>
      <w:pPr>
        <w:adjustRightInd w:val="0"/>
        <w:snapToGrid w:val="0"/>
        <w:spacing w:line="360" w:lineRule="auto"/>
        <w:jc w:val="center"/>
        <w:rPr>
          <w:rFonts w:ascii="宋体" w:hAnsi="宋体"/>
          <w:b/>
          <w:snapToGrid w:val="0"/>
          <w:sz w:val="32"/>
          <w:szCs w:val="32"/>
        </w:rPr>
      </w:pPr>
    </w:p>
    <w:p>
      <w:pPr>
        <w:spacing w:line="560" w:lineRule="exact"/>
        <w:rPr>
          <w:rFonts w:hint="eastAsia" w:ascii="黑体" w:hAnsi="黑体" w:eastAsia="黑体"/>
          <w:b/>
          <w:sz w:val="28"/>
          <w:szCs w:val="28"/>
          <w:lang w:val="en-US" w:eastAsia="zh-CN"/>
        </w:rPr>
      </w:pPr>
      <w:r>
        <w:rPr>
          <w:rFonts w:hint="eastAsia" w:ascii="黑体" w:hAnsi="黑体" w:eastAsia="黑体"/>
          <w:b/>
          <w:sz w:val="28"/>
          <w:szCs w:val="28"/>
          <w:lang w:val="en-US" w:eastAsia="zh-CN"/>
        </w:rPr>
        <w:t>附件十三</w:t>
      </w:r>
    </w:p>
    <w:p>
      <w:pPr>
        <w:spacing w:line="560" w:lineRule="exact"/>
        <w:jc w:val="center"/>
        <w:rPr>
          <w:rFonts w:hint="eastAsia" w:ascii="黑体" w:hAnsi="黑体" w:eastAsia="黑体"/>
          <w:b/>
          <w:sz w:val="28"/>
          <w:szCs w:val="28"/>
          <w:lang w:val="en-US" w:eastAsia="zh-CN"/>
        </w:rPr>
      </w:pPr>
      <w:r>
        <w:rPr>
          <w:rFonts w:hint="eastAsia" w:ascii="黑体" w:hAnsi="黑体" w:eastAsia="黑体"/>
          <w:b/>
          <w:sz w:val="28"/>
          <w:szCs w:val="28"/>
          <w:lang w:val="en-US" w:eastAsia="zh-CN"/>
        </w:rPr>
        <w:t>售后服务</w:t>
      </w:r>
    </w:p>
    <w:p>
      <w:pPr>
        <w:spacing w:line="560" w:lineRule="exact"/>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（格式自拟）</w:t>
      </w: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pStyle w:val="2"/>
        <w:jc w:val="center"/>
        <w:rPr>
          <w:rFonts w:hint="eastAsia"/>
          <w:b/>
          <w:bCs/>
          <w:sz w:val="32"/>
          <w:szCs w:val="32"/>
          <w:lang w:val="en-US" w:eastAsia="zh-CN"/>
        </w:rPr>
      </w:pPr>
    </w:p>
    <w:p>
      <w:pPr>
        <w:spacing w:line="560" w:lineRule="exact"/>
        <w:rPr>
          <w:rFonts w:hint="eastAsia" w:ascii="黑体" w:hAnsi="黑体" w:eastAsia="黑体"/>
          <w:b/>
          <w:sz w:val="28"/>
          <w:szCs w:val="28"/>
          <w:lang w:val="en-US" w:eastAsia="zh-CN"/>
        </w:rPr>
      </w:pPr>
      <w:r>
        <w:rPr>
          <w:rFonts w:hint="eastAsia" w:ascii="黑体" w:hAnsi="黑体" w:eastAsia="黑体"/>
          <w:b/>
          <w:sz w:val="28"/>
          <w:szCs w:val="28"/>
          <w:lang w:val="en-US" w:eastAsia="zh-CN"/>
        </w:rPr>
        <w:t>附件十四</w:t>
      </w:r>
    </w:p>
    <w:p>
      <w:pPr>
        <w:spacing w:line="560" w:lineRule="exact"/>
        <w:jc w:val="center"/>
        <w:rPr>
          <w:rFonts w:hint="eastAsia" w:ascii="黑体" w:hAnsi="黑体" w:eastAsia="黑体"/>
          <w:b/>
          <w:sz w:val="28"/>
          <w:szCs w:val="28"/>
          <w:lang w:val="en-US" w:eastAsia="zh-CN"/>
        </w:rPr>
      </w:pPr>
      <w:r>
        <w:rPr>
          <w:rFonts w:hint="eastAsia" w:ascii="黑体" w:hAnsi="黑体" w:eastAsia="黑体"/>
          <w:b/>
          <w:sz w:val="28"/>
          <w:szCs w:val="28"/>
          <w:lang w:val="en-US" w:eastAsia="zh-CN"/>
        </w:rPr>
        <w:t>服务响应承诺书</w:t>
      </w:r>
    </w:p>
    <w:p>
      <w:pPr>
        <w:spacing w:line="560" w:lineRule="exact"/>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（格式自拟）</w:t>
      </w:r>
    </w:p>
    <w:p>
      <w:pPr>
        <w:pStyle w:val="2"/>
        <w:jc w:val="center"/>
        <w:rPr>
          <w:rFonts w:hint="default"/>
          <w:b/>
          <w:bCs/>
          <w:sz w:val="32"/>
          <w:szCs w:val="32"/>
          <w:lang w:val="en-US" w:eastAsia="zh-CN"/>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24"/>
          <w:szCs w:val="24"/>
        </w:rPr>
      </w:pPr>
    </w:p>
    <w:p>
      <w:pPr>
        <w:adjustRightInd w:val="0"/>
        <w:snapToGrid w:val="0"/>
        <w:spacing w:line="480" w:lineRule="auto"/>
        <w:jc w:val="center"/>
        <w:rPr>
          <w:rFonts w:ascii="宋体" w:hAnsi="宋体"/>
          <w:b/>
          <w:snapToGrid w:val="0"/>
          <w:sz w:val="24"/>
          <w:szCs w:val="24"/>
        </w:rPr>
      </w:pPr>
      <w:r>
        <w:rPr>
          <w:rFonts w:hint="eastAsia" w:ascii="宋体" w:hAnsi="宋体"/>
          <w:b/>
          <w:snapToGrid w:val="0"/>
          <w:sz w:val="24"/>
          <w:szCs w:val="24"/>
        </w:rPr>
        <w:t>政府采购信用融资</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微企业融资渠道，助力企业发展，现将有关事项通知如下：</w:t>
      </w:r>
    </w:p>
    <w:p>
      <w:pPr>
        <w:adjustRightInd w:val="0"/>
        <w:snapToGrid w:val="0"/>
        <w:spacing w:line="480" w:lineRule="auto"/>
        <w:rPr>
          <w:rFonts w:ascii="宋体" w:hAnsi="宋体"/>
          <w:b/>
          <w:bCs/>
          <w:snapToGrid w:val="0"/>
          <w:kern w:val="0"/>
          <w:sz w:val="24"/>
          <w:szCs w:val="24"/>
        </w:rPr>
      </w:pPr>
      <w:r>
        <w:rPr>
          <w:rFonts w:hint="eastAsia" w:ascii="宋体" w:hAnsi="宋体"/>
          <w:b/>
          <w:bCs/>
          <w:snapToGrid w:val="0"/>
          <w:kern w:val="0"/>
          <w:sz w:val="24"/>
          <w:szCs w:val="24"/>
        </w:rPr>
        <w:t>一、信用融资主体</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（一）本通知所称金融机构为在常州市注册或设立分支机构的银行业金融机构。</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（二）本通知所称中小企业为符合工信部、财政部等部门《关于印发中小企业划型标准规定的通知》（工信部联企业〔2011〕300 号）相关规定的供应商。</w:t>
      </w:r>
    </w:p>
    <w:p>
      <w:pPr>
        <w:adjustRightInd w:val="0"/>
        <w:snapToGrid w:val="0"/>
        <w:spacing w:line="480" w:lineRule="auto"/>
        <w:ind w:firstLine="480" w:firstLineChars="200"/>
        <w:rPr>
          <w:rFonts w:ascii="宋体" w:hAnsi="宋体"/>
          <w:b/>
          <w:snapToGrid w:val="0"/>
          <w:sz w:val="24"/>
          <w:szCs w:val="24"/>
        </w:rPr>
      </w:pPr>
      <w:r>
        <w:rPr>
          <w:rFonts w:hint="eastAsia" w:ascii="宋体" w:hAnsi="宋体"/>
          <w:snapToGrid w:val="0"/>
          <w:kern w:val="0"/>
          <w:sz w:val="24"/>
          <w:szCs w:val="24"/>
        </w:rPr>
        <w:t>申请政府采购信用融资的中小企业供应商，还需符合下列条件：</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、获得常州市政府采购合同中标资格、取得常州市政府采购合同；</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、信用融资仅对应企业中标政府采购合同项目下的资金需求，中标（成交）供应商应根据贷款金融机构指定开设账户作为接受政府采购付款的唯一账户，并接受金融机构对该账户资金支付的全程监管；</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、依据常州企业征信服务有限公司提供的企业信用报告，企业社会信用状况、财务状况、信用记录及参与政府采购相关的历史记录良好。</w:t>
      </w:r>
    </w:p>
    <w:p>
      <w:pPr>
        <w:spacing w:line="480" w:lineRule="auto"/>
        <w:rPr>
          <w:rFonts w:ascii="宋体" w:hAnsi="宋体"/>
          <w:snapToGrid w:val="0"/>
          <w:kern w:val="0"/>
          <w:sz w:val="24"/>
          <w:szCs w:val="24"/>
        </w:rPr>
      </w:pPr>
      <w:r>
        <w:rPr>
          <w:rFonts w:hint="eastAsia" w:ascii="宋体" w:hAnsi="宋体"/>
          <w:b/>
          <w:bCs/>
          <w:snapToGrid w:val="0"/>
          <w:kern w:val="0"/>
          <w:sz w:val="24"/>
          <w:szCs w:val="24"/>
        </w:rPr>
        <w:t>二、信用融资原则</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坚持“政府引导、市场运行、服务银企、互惠共赢”原则，充分发挥市场在资源配置中的决定性作用，激发市场主体活力。财政部门、人民银行搭建银企对接融资平台通过政策引导，降低融资成本，促进金融机构与企业良性互动发展，促进经济高质量发展。</w:t>
      </w:r>
    </w:p>
    <w:p>
      <w:pPr>
        <w:spacing w:line="480" w:lineRule="auto"/>
        <w:rPr>
          <w:rFonts w:ascii="宋体" w:hAnsi="宋体"/>
          <w:b/>
          <w:bCs/>
          <w:snapToGrid w:val="0"/>
          <w:kern w:val="0"/>
          <w:sz w:val="24"/>
          <w:szCs w:val="24"/>
        </w:rPr>
      </w:pPr>
      <w:r>
        <w:rPr>
          <w:rFonts w:hint="eastAsia" w:ascii="宋体" w:hAnsi="宋体"/>
          <w:b/>
          <w:bCs/>
          <w:snapToGrid w:val="0"/>
          <w:kern w:val="0"/>
          <w:sz w:val="24"/>
          <w:szCs w:val="24"/>
        </w:rPr>
        <w:t>三、信用融资政策</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、融资期限：金融机构和融资企业协商确定融资期限，可参照政府采购合同最后付款期，并可合理延期。</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、融资利率：原则上不超过最近一个月全国银行间同业拆借中心公布的相应期限的贷款市场报价利率（LPR）加 100 个基点，不得向企业另行收取其他费用；金融机构不得要求供应商提供其他财产抵押或第三方企业担保。</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信用融资办理时间：有融资需求的供应商在“常州政府采购信用融资平台”（以下简称：政采贷平台）注册并申请信用融资后，如贷款所需资料齐备，符合贷款条件，金融机构应在6个工作日内办理融资审查、信息核实、签订融资协议、发放贷款等工作。</w:t>
      </w:r>
    </w:p>
    <w:p>
      <w:pPr>
        <w:spacing w:line="480" w:lineRule="auto"/>
        <w:rPr>
          <w:rFonts w:ascii="宋体" w:hAnsi="宋体"/>
          <w:b/>
          <w:bCs/>
          <w:snapToGrid w:val="0"/>
          <w:kern w:val="0"/>
          <w:sz w:val="24"/>
          <w:szCs w:val="24"/>
        </w:rPr>
      </w:pPr>
      <w:r>
        <w:rPr>
          <w:rFonts w:hint="eastAsia" w:ascii="宋体" w:hAnsi="宋体"/>
          <w:b/>
          <w:bCs/>
          <w:snapToGrid w:val="0"/>
          <w:kern w:val="0"/>
          <w:sz w:val="24"/>
          <w:szCs w:val="24"/>
        </w:rPr>
        <w:t>四、信用融资流程</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、金融机构融资方案审核与公布。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2、信息发布。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采购人或政府采购代理机构应在政府采购公告和采购文件中载明政府采购信用融资的相关信息。系统自动将政府采购中标公告、采购合同推送至“政采贷平台”。</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、融资申请。</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有融资需求的供应商可手机登录“政采贷平台</w:t>
      </w:r>
      <w:r>
        <w:rPr>
          <w:rFonts w:hint="eastAsia" w:ascii="宋体" w:hAnsi="宋体"/>
          <w:snapToGrid w:val="0"/>
          <w:spacing w:val="-20"/>
          <w:kern w:val="0"/>
          <w:sz w:val="24"/>
          <w:szCs w:val="24"/>
        </w:rPr>
        <w:t>”（https://www.cz-credit.cn/zqt/）</w:t>
      </w:r>
      <w:r>
        <w:rPr>
          <w:rFonts w:hint="eastAsia" w:ascii="宋体" w:hAnsi="宋体"/>
          <w:snapToGrid w:val="0"/>
          <w:kern w:val="0"/>
          <w:sz w:val="24"/>
          <w:szCs w:val="24"/>
        </w:rPr>
        <w:t>或直接扫描二维码进行 注 册 ， 也 可 通 过 “常州市政府采购网 — 政采贷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4</w:t>
      </w:r>
      <w:r>
        <w:rPr>
          <w:rFonts w:hint="eastAsia" w:ascii="宋体" w:hAnsi="宋体"/>
          <w:snapToGrid w:val="0"/>
          <w:kern w:val="0"/>
          <w:sz w:val="24"/>
          <w:szCs w:val="24"/>
        </w:rPr>
        <w:t>、融资审查和贷款发放。</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金融机构在“政采贷平台”上受理供应商的融资申请后，首先应在 2 个工作日内对供应商融资信息进行审查，决定是否为其提供融资，做好预授信；其次应在 2个工作日内对政府采购合同及融资信息核实，下达授信额度，双方签订融资协议；金融机构按照融资协议应在 2 个工作日内向供应商发放贷款。</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5</w:t>
      </w:r>
      <w:r>
        <w:rPr>
          <w:rFonts w:hint="eastAsia" w:ascii="宋体" w:hAnsi="宋体"/>
          <w:snapToGrid w:val="0"/>
          <w:kern w:val="0"/>
          <w:sz w:val="24"/>
          <w:szCs w:val="24"/>
        </w:rPr>
        <w:t>、账户约定。</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在取得中标通知书未签订政府采购合同之前，金融机构对供应商融资回款账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6</w:t>
      </w:r>
      <w:r>
        <w:rPr>
          <w:rFonts w:hint="eastAsia" w:ascii="宋体" w:hAnsi="宋体"/>
          <w:snapToGrid w:val="0"/>
          <w:kern w:val="0"/>
          <w:sz w:val="24"/>
          <w:szCs w:val="24"/>
        </w:rPr>
        <w:t>、贷款归还。</w:t>
      </w:r>
    </w:p>
    <w:p>
      <w:pPr>
        <w:spacing w:line="480" w:lineRule="auto"/>
        <w:ind w:firstLine="480" w:firstLineChars="200"/>
        <w:rPr>
          <w:rFonts w:ascii="宋体" w:hAnsi="宋体" w:cs="宋体"/>
          <w:sz w:val="24"/>
          <w:szCs w:val="24"/>
        </w:rPr>
      </w:pPr>
      <w:r>
        <w:rPr>
          <w:rFonts w:hint="eastAsia" w:ascii="宋体" w:hAnsi="宋体"/>
          <w:snapToGrid w:val="0"/>
          <w:kern w:val="0"/>
          <w:sz w:val="24"/>
          <w:szCs w:val="24"/>
        </w:rPr>
        <w:t>供应商获得贷款后应自觉履行政府采购合同和融资协议。采购人按采购合同约定进行履约验收，验收合格后将合同资金</w:t>
      </w:r>
      <w:r>
        <w:rPr>
          <w:rFonts w:hint="eastAsia" w:ascii="宋体" w:hAnsi="宋体" w:cs="宋体"/>
          <w:sz w:val="24"/>
          <w:szCs w:val="24"/>
        </w:rPr>
        <w:t>。</w:t>
      </w:r>
    </w:p>
    <w:p>
      <w:pPr>
        <w:pStyle w:val="19"/>
        <w:rPr>
          <w:rFonts w:hAnsi="宋体" w:cs="宋体"/>
          <w:sz w:val="24"/>
          <w:szCs w:val="24"/>
        </w:rPr>
      </w:pPr>
    </w:p>
    <w:p>
      <w:pPr>
        <w:rPr>
          <w:rFonts w:ascii="宋体" w:hAnsi="宋体" w:cs="宋体"/>
          <w:sz w:val="24"/>
          <w:szCs w:val="24"/>
        </w:rPr>
      </w:pPr>
    </w:p>
    <w:p>
      <w:pPr>
        <w:pStyle w:val="19"/>
        <w:rPr>
          <w:rFonts w:hAnsi="宋体" w:cs="宋体"/>
          <w:sz w:val="24"/>
          <w:szCs w:val="24"/>
        </w:rPr>
      </w:pPr>
    </w:p>
    <w:p>
      <w:pPr>
        <w:tabs>
          <w:tab w:val="left" w:pos="471"/>
        </w:tabs>
        <w:spacing w:line="480" w:lineRule="auto"/>
        <w:ind w:firstLine="480" w:firstLineChars="200"/>
        <w:rPr>
          <w:rFonts w:ascii="宋体" w:hAnsi="宋体" w:cs="宋体"/>
          <w:sz w:val="24"/>
          <w:szCs w:val="24"/>
        </w:rPr>
      </w:pPr>
      <w:r>
        <w:rPr>
          <w:rFonts w:hint="eastAsia" w:ascii="宋体" w:hAnsi="宋体" w:cs="宋体"/>
          <w:sz w:val="24"/>
          <w:szCs w:val="24"/>
        </w:rPr>
        <w:t>7、</w:t>
      </w:r>
      <w:r>
        <w:rPr>
          <w:rFonts w:ascii="宋体" w:hAnsi="宋体" w:cs="宋体"/>
          <w:sz w:val="24"/>
          <w:szCs w:val="24"/>
        </w:rPr>
        <w:t>常州市中小企业政府采购信用融资签约金融机构名单如下：</w:t>
      </w:r>
    </w:p>
    <w:tbl>
      <w:tblPr>
        <w:tblStyle w:val="20"/>
        <w:tblpPr w:leftFromText="180" w:rightFromText="180" w:vertAnchor="text" w:horzAnchor="page" w:tblpX="1416" w:tblpY="112"/>
        <w:tblOverlap w:val="never"/>
        <w:tblW w:w="8958" w:type="dxa"/>
        <w:tblInd w:w="0" w:type="dxa"/>
        <w:tblLayout w:type="fixed"/>
        <w:tblCellMar>
          <w:top w:w="0" w:type="dxa"/>
          <w:left w:w="0" w:type="dxa"/>
          <w:bottom w:w="0" w:type="dxa"/>
          <w:right w:w="0" w:type="dxa"/>
        </w:tblCellMar>
      </w:tblPr>
      <w:tblGrid>
        <w:gridCol w:w="4302"/>
        <w:gridCol w:w="1164"/>
        <w:gridCol w:w="1769"/>
        <w:gridCol w:w="1723"/>
      </w:tblGrid>
      <w:tr>
        <w:tblPrEx>
          <w:tblCellMar>
            <w:top w:w="0" w:type="dxa"/>
            <w:left w:w="0" w:type="dxa"/>
            <w:bottom w:w="0" w:type="dxa"/>
            <w:right w:w="0" w:type="dxa"/>
          </w:tblCellMar>
        </w:tblPrEx>
        <w:trPr>
          <w:trHeight w:val="506"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合作银行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联系人</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联系电话</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贷款利率上限</w:t>
            </w:r>
          </w:p>
        </w:tc>
      </w:tr>
      <w:tr>
        <w:tblPrEx>
          <w:tblCellMar>
            <w:top w:w="0" w:type="dxa"/>
            <w:left w:w="0" w:type="dxa"/>
            <w:bottom w:w="0" w:type="dxa"/>
            <w:right w:w="0" w:type="dxa"/>
          </w:tblCellMar>
        </w:tblPrEx>
        <w:trPr>
          <w:trHeight w:val="769"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333333"/>
                <w:sz w:val="24"/>
                <w:szCs w:val="24"/>
              </w:rPr>
            </w:pPr>
            <w:r>
              <w:rPr>
                <w:rStyle w:val="48"/>
                <w:rFonts w:hint="default" w:ascii="宋体" w:hAnsi="宋体" w:eastAsia="宋体" w:cs="宋体"/>
                <w:sz w:val="24"/>
                <w:szCs w:val="24"/>
              </w:rPr>
              <w:t>江苏江南农村商业银行股份有限公司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潘 苗</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0519-80585945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69"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江苏银行股份有限公司常州分行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夏文强</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13861269216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2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中信银行股份有限公司常州分行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于 澹</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13861079977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LPR+50个基点</w:t>
            </w:r>
          </w:p>
        </w:tc>
      </w:tr>
      <w:tr>
        <w:tblPrEx>
          <w:tblCellMar>
            <w:top w:w="0" w:type="dxa"/>
            <w:left w:w="0" w:type="dxa"/>
            <w:bottom w:w="0" w:type="dxa"/>
            <w:right w:w="0" w:type="dxa"/>
          </w:tblCellMar>
        </w:tblPrEx>
        <w:trPr>
          <w:trHeight w:val="65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中国建设银行银行股份有限公司常州分行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李 蕾</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0519-86812870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650"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中国邮政储蓄银行常州市分行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成 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18006121930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0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恽 雍</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0519-88178290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LPR+80个基点</w:t>
            </w:r>
          </w:p>
        </w:tc>
      </w:tr>
    </w:tbl>
    <w:p>
      <w:pPr>
        <w:pStyle w:val="19"/>
        <w:ind w:firstLine="0"/>
      </w:pPr>
    </w:p>
    <w:p/>
    <w:p>
      <w:pPr>
        <w:pStyle w:val="19"/>
      </w:pPr>
    </w:p>
    <w:p>
      <w:pPr>
        <w:pStyle w:val="28"/>
        <w:spacing w:line="440" w:lineRule="exact"/>
        <w:ind w:right="0" w:rightChars="0" w:firstLine="560"/>
        <w:jc w:val="both"/>
        <w:rPr>
          <w:rFonts w:ascii="宋体" w:hAnsi="宋体" w:eastAsia="宋体"/>
          <w:snapToGrid w:val="0"/>
          <w:kern w:val="0"/>
          <w:sz w:val="28"/>
          <w:szCs w:val="28"/>
          <w:lang w:val="en-US"/>
        </w:rPr>
      </w:pPr>
    </w:p>
    <w:p>
      <w:pPr>
        <w:spacing w:line="360" w:lineRule="auto"/>
        <w:ind w:firstLine="480" w:firstLineChars="200"/>
        <w:rPr>
          <w:rFonts w:ascii="宋体" w:hAnsi="宋体"/>
          <w:snapToGrid w:val="0"/>
          <w:kern w:val="0"/>
          <w:sz w:val="24"/>
          <w:szCs w:val="24"/>
        </w:rPr>
      </w:pPr>
    </w:p>
    <w:p>
      <w:pPr>
        <w:pStyle w:val="4"/>
        <w:keepNext w:val="0"/>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第七章 采购需求</w:t>
      </w:r>
      <w:bookmarkEnd w:id="25"/>
    </w:p>
    <w:p>
      <w:pPr>
        <w:spacing w:line="480" w:lineRule="auto"/>
        <w:rPr>
          <w:rFonts w:hint="eastAsia" w:ascii="宋体" w:hAnsi="宋体" w:eastAsia="宋体" w:cs="宋体"/>
          <w:bCs/>
          <w:sz w:val="24"/>
          <w:szCs w:val="24"/>
          <w:lang w:val="en-US" w:eastAsia="zh-CN"/>
        </w:rPr>
      </w:pPr>
      <w:r>
        <w:rPr>
          <w:rFonts w:hint="eastAsia" w:ascii="宋体" w:hAnsi="宋体" w:cs="宋体"/>
          <w:b/>
          <w:sz w:val="24"/>
          <w:szCs w:val="24"/>
        </w:rPr>
        <w:t>一、项目地点</w:t>
      </w:r>
      <w:r>
        <w:rPr>
          <w:rFonts w:hint="eastAsia" w:ascii="宋体" w:hAnsi="宋体" w:cs="宋体"/>
          <w:bCs/>
          <w:sz w:val="24"/>
          <w:szCs w:val="24"/>
        </w:rPr>
        <w:t>：</w:t>
      </w:r>
      <w:r>
        <w:rPr>
          <w:rFonts w:hint="eastAsia" w:ascii="宋体" w:hAnsi="宋体" w:cs="宋体"/>
          <w:bCs/>
          <w:sz w:val="24"/>
          <w:szCs w:val="24"/>
          <w:u w:val="single"/>
        </w:rPr>
        <w:t>新堂路金碧辉园</w:t>
      </w:r>
      <w:r>
        <w:rPr>
          <w:rFonts w:hint="eastAsia" w:ascii="宋体" w:hAnsi="宋体" w:cs="宋体"/>
          <w:bCs/>
          <w:sz w:val="24"/>
          <w:szCs w:val="24"/>
          <w:u w:val="single"/>
          <w:lang w:val="en-US" w:eastAsia="zh-CN"/>
        </w:rPr>
        <w:t>区</w:t>
      </w:r>
    </w:p>
    <w:p>
      <w:pPr>
        <w:spacing w:line="480" w:lineRule="auto"/>
        <w:rPr>
          <w:rFonts w:ascii="宋体" w:hAnsi="宋体" w:cs="宋体"/>
          <w:bCs/>
          <w:sz w:val="24"/>
          <w:szCs w:val="24"/>
          <w:u w:val="single"/>
        </w:rPr>
      </w:pPr>
      <w:r>
        <w:rPr>
          <w:rFonts w:hint="eastAsia" w:ascii="宋体" w:hAnsi="宋体" w:cs="宋体"/>
          <w:b/>
          <w:sz w:val="24"/>
          <w:szCs w:val="24"/>
        </w:rPr>
        <w:t>二、项目内容</w:t>
      </w:r>
      <w:r>
        <w:rPr>
          <w:rFonts w:hint="eastAsia" w:ascii="宋体" w:hAnsi="宋体" w:cs="宋体"/>
          <w:bCs/>
          <w:sz w:val="24"/>
          <w:szCs w:val="24"/>
        </w:rPr>
        <w:t>：</w:t>
      </w:r>
      <w:r>
        <w:rPr>
          <w:rFonts w:hint="eastAsia" w:ascii="宋体" w:hAnsi="宋体" w:cs="宋体"/>
          <w:bCs/>
          <w:sz w:val="24"/>
          <w:szCs w:val="24"/>
          <w:u w:val="single"/>
        </w:rPr>
        <w:t>具体施工内容请参考工程量清单；</w:t>
      </w:r>
    </w:p>
    <w:p>
      <w:pPr>
        <w:spacing w:line="480" w:lineRule="auto"/>
        <w:rPr>
          <w:rFonts w:ascii="宋体" w:hAnsi="宋体"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三</w:t>
      </w:r>
      <w:r>
        <w:rPr>
          <w:rFonts w:hint="eastAsia" w:ascii="宋体" w:hAnsi="宋体" w:cs="宋体"/>
          <w:b/>
          <w:color w:val="000000" w:themeColor="text1"/>
          <w:sz w:val="24"/>
          <w:szCs w:val="24"/>
          <w14:textFill>
            <w14:solidFill>
              <w14:schemeClr w14:val="tx1"/>
            </w14:solidFill>
          </w14:textFill>
        </w:rPr>
        <w:t>、付款方式</w:t>
      </w:r>
      <w:r>
        <w:rPr>
          <w:rFonts w:hint="eastAsia" w:ascii="宋体" w:hAnsi="宋体" w:cs="宋体"/>
          <w:bCs/>
          <w:color w:val="000000" w:themeColor="text1"/>
          <w:sz w:val="24"/>
          <w:szCs w:val="24"/>
          <w:u w:val="single"/>
          <w14:textFill>
            <w14:solidFill>
              <w14:schemeClr w14:val="tx1"/>
            </w14:solidFill>
          </w14:textFill>
        </w:rPr>
        <w:t xml:space="preserve">：工程完成经验收审计付70%，余款质保期满一次性付清。 </w:t>
      </w:r>
      <w:r>
        <w:rPr>
          <w:rFonts w:hint="eastAsia" w:ascii="宋体" w:hAnsi="宋体" w:cs="宋体"/>
          <w:bCs/>
          <w:color w:val="000000" w:themeColor="text1"/>
          <w:sz w:val="24"/>
          <w:szCs w:val="24"/>
          <w14:textFill>
            <w14:solidFill>
              <w14:schemeClr w14:val="tx1"/>
            </w14:solidFill>
          </w14:textFill>
        </w:rPr>
        <w:t>；</w:t>
      </w:r>
    </w:p>
    <w:p>
      <w:pPr>
        <w:spacing w:line="480" w:lineRule="auto"/>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cs="宋体"/>
          <w:b/>
          <w:color w:val="000000" w:themeColor="text1"/>
          <w:sz w:val="24"/>
          <w:szCs w:val="24"/>
          <w14:textFill>
            <w14:solidFill>
              <w14:schemeClr w14:val="tx1"/>
            </w14:solidFill>
          </w14:textFill>
        </w:rPr>
        <w:t>、质保期</w:t>
      </w:r>
      <w:r>
        <w:rPr>
          <w:rFonts w:hint="eastAsia" w:ascii="宋体" w:hAnsi="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u w:val="single"/>
          <w:lang w:val="en-US" w:eastAsia="zh-CN"/>
          <w14:textFill>
            <w14:solidFill>
              <w14:schemeClr w14:val="tx1"/>
            </w14:solidFill>
          </w14:textFill>
        </w:rPr>
        <w:t>2年；</w:t>
      </w:r>
    </w:p>
    <w:p>
      <w:pPr>
        <w:pStyle w:val="2"/>
        <w:ind w:left="0" w:leftChars="0" w:firstLine="0" w:firstLineChars="0"/>
        <w:rPr>
          <w:rFonts w:hint="default" w:eastAsia="宋体"/>
          <w:lang w:val="en-US" w:eastAsia="zh-CN"/>
        </w:rPr>
      </w:pPr>
      <w:r>
        <w:rPr>
          <w:rFonts w:hint="eastAsia" w:ascii="宋体" w:hAnsi="宋体" w:cs="宋体"/>
          <w:b/>
          <w:bCs w:val="0"/>
          <w:color w:val="000000" w:themeColor="text1"/>
          <w:sz w:val="24"/>
          <w:szCs w:val="24"/>
          <w:u w:val="none"/>
          <w:lang w:val="en-US" w:eastAsia="zh-CN"/>
          <w14:textFill>
            <w14:solidFill>
              <w14:schemeClr w14:val="tx1"/>
            </w14:solidFill>
          </w14:textFill>
        </w:rPr>
        <w:t>五、工期：</w:t>
      </w:r>
      <w:r>
        <w:rPr>
          <w:rFonts w:hint="eastAsia" w:ascii="宋体" w:hAnsi="宋体" w:cs="宋体"/>
          <w:bCs/>
          <w:color w:val="000000" w:themeColor="text1"/>
          <w:sz w:val="24"/>
          <w:szCs w:val="24"/>
          <w:u w:val="single"/>
          <w:lang w:val="en-US" w:eastAsia="zh-CN"/>
          <w14:textFill>
            <w14:solidFill>
              <w14:schemeClr w14:val="tx1"/>
            </w14:solidFill>
          </w14:textFill>
        </w:rPr>
        <w:t>45天。</w:t>
      </w:r>
    </w:p>
    <w:p>
      <w:pPr>
        <w:pStyle w:val="4"/>
        <w:keepNext w:val="0"/>
        <w:snapToGrid w:val="0"/>
        <w:spacing w:line="360" w:lineRule="auto"/>
        <w:ind w:left="0" w:firstLine="0"/>
        <w:rPr>
          <w:rFonts w:ascii="宋体" w:hAnsi="宋体" w:eastAsia="宋体"/>
          <w:sz w:val="36"/>
          <w:szCs w:val="36"/>
        </w:rPr>
      </w:pPr>
      <w:r>
        <w:rPr>
          <w:rFonts w:hint="eastAsia" w:ascii="黑体" w:hAnsi="黑体" w:cs="黑体"/>
          <w:b w:val="0"/>
          <w:bCs/>
          <w:sz w:val="36"/>
          <w:szCs w:val="36"/>
        </w:rPr>
        <w:t>第八章 评标办法</w:t>
      </w:r>
    </w:p>
    <w:p>
      <w:pPr>
        <w:spacing w:line="400" w:lineRule="exact"/>
        <w:rPr>
          <w:rFonts w:ascii="宋体" w:hAnsi="宋体" w:cs="宋体"/>
          <w:b/>
          <w:bCs/>
          <w:szCs w:val="21"/>
        </w:rPr>
      </w:pPr>
      <w:r>
        <w:rPr>
          <w:rFonts w:hint="eastAsia" w:ascii="宋体" w:hAnsi="宋体" w:cs="宋体"/>
          <w:b/>
          <w:bCs/>
          <w:szCs w:val="21"/>
        </w:rPr>
        <w:t>一、评审办法：</w:t>
      </w:r>
    </w:p>
    <w:p>
      <w:pPr>
        <w:snapToGrid w:val="0"/>
        <w:spacing w:line="312" w:lineRule="auto"/>
        <w:ind w:firstLine="480" w:firstLineChars="200"/>
        <w:rPr>
          <w:rFonts w:ascii="宋体" w:hAnsi="宋体"/>
          <w:color w:val="FF0000"/>
          <w:sz w:val="24"/>
        </w:rPr>
      </w:pPr>
      <w:r>
        <w:rPr>
          <w:rFonts w:hint="eastAsia" w:ascii="宋体" w:hAnsi="宋体"/>
          <w:sz w:val="24"/>
        </w:rPr>
        <w:t>本项目采用综合评分法，由评委会对所有有效投标进行详细的评分，采用百分制计分方法。评标时，评标委员会各成员</w:t>
      </w:r>
      <w:r>
        <w:rPr>
          <w:rFonts w:ascii="宋体" w:hAnsi="宋体"/>
          <w:sz w:val="24"/>
        </w:rPr>
        <w:t>遵循公平、公正、择优原则</w:t>
      </w:r>
      <w:r>
        <w:rPr>
          <w:rFonts w:hint="eastAsia" w:ascii="宋体" w:hAnsi="宋体"/>
          <w:sz w:val="24"/>
        </w:rPr>
        <w:t>，独立对每个有效投标人的标书进行评价、打分，各个投标人的</w:t>
      </w:r>
      <w:r>
        <w:rPr>
          <w:rFonts w:ascii="宋体" w:hAnsi="宋体"/>
          <w:sz w:val="24"/>
        </w:rPr>
        <w:t>评审后</w:t>
      </w:r>
      <w:r>
        <w:rPr>
          <w:rFonts w:hint="eastAsia" w:ascii="宋体" w:hAnsi="宋体"/>
          <w:sz w:val="24"/>
        </w:rPr>
        <w:t>最终得分为汇总计算所有评委所评定分值的平均值（保留2位小数）。</w:t>
      </w:r>
      <w:r>
        <w:rPr>
          <w:rFonts w:ascii="宋体" w:hAnsi="宋体"/>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spacing w:line="312" w:lineRule="auto"/>
        <w:rPr>
          <w:rFonts w:ascii="宋体" w:hAnsi="宋体"/>
          <w:sz w:val="24"/>
        </w:rPr>
      </w:pPr>
      <w:r>
        <w:rPr>
          <w:rFonts w:hint="eastAsia" w:ascii="宋体" w:hAnsi="宋体"/>
          <w:color w:val="FF0000"/>
          <w:sz w:val="24"/>
        </w:rPr>
        <w:t xml:space="preserve">   </w:t>
      </w:r>
      <w:r>
        <w:rPr>
          <w:rFonts w:hint="eastAsia" w:ascii="宋体" w:hAnsi="宋体"/>
          <w:sz w:val="24"/>
        </w:rPr>
        <w:t xml:space="preserve"> 对于小微企业提供本企业制造的货物，由本企业承担工程、提供服务，或者提供其他小微企业制造的货物的，进行价格扣除：对小型和微型企业产品及服务的价格给予</w:t>
      </w:r>
      <w:r>
        <w:rPr>
          <w:rFonts w:ascii="宋体" w:hAnsi="宋体"/>
          <w:sz w:val="24"/>
        </w:rPr>
        <w:t>10%</w:t>
      </w:r>
      <w:r>
        <w:rPr>
          <w:rFonts w:hint="eastAsia" w:ascii="宋体" w:hAnsi="宋体"/>
          <w:sz w:val="24"/>
        </w:rPr>
        <w:t>的扣除（根据江苏省财政厅苏财购[2020]19号文件精神，因疫情影响，2020年度对小型和微型企业产品价格给予10%的扣除），用扣除后的价格参与评审。属于残疾人福利性单位、监狱企业的视同小微企业，给予价格扣除。联合体参加谈判的，联合体各方均为小型、微型企业的，联合体视同为小型、微型企业；其他与小型、微型企业组成联合体的，联合协议中约定小型、微型企业的协议合同金额占到联合体协议合同总金额30%以上的，可给予联合体</w:t>
      </w:r>
      <w:r>
        <w:rPr>
          <w:rFonts w:ascii="宋体" w:hAnsi="宋体"/>
          <w:sz w:val="24"/>
        </w:rPr>
        <w:t>3%</w:t>
      </w:r>
      <w:r>
        <w:rPr>
          <w:rFonts w:hint="eastAsia" w:ascii="宋体" w:hAnsi="宋体"/>
          <w:sz w:val="24"/>
        </w:rPr>
        <w:t>的价格扣除。小微企业提供大中型企业制造的货物的，视同为大中型企业，不给予价格扣除。供应商需按照采购文件的要求提供相应的《企业声明函》，否则不予价格扣除。</w:t>
      </w:r>
    </w:p>
    <w:p>
      <w:pPr>
        <w:spacing w:line="400" w:lineRule="exact"/>
        <w:rPr>
          <w:rFonts w:ascii="宋体" w:hAnsi="宋体" w:cs="宋体"/>
          <w:b/>
          <w:bCs/>
          <w:szCs w:val="21"/>
        </w:rPr>
      </w:pPr>
      <w:r>
        <w:rPr>
          <w:rFonts w:hint="eastAsia" w:ascii="宋体" w:hAnsi="宋体" w:cs="宋体"/>
          <w:b/>
          <w:bCs/>
          <w:szCs w:val="21"/>
        </w:rPr>
        <w:t>二、评分标准：</w:t>
      </w:r>
    </w:p>
    <w:tbl>
      <w:tblPr>
        <w:tblStyle w:val="2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82"/>
        <w:gridCol w:w="674"/>
        <w:gridCol w:w="474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2"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482"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评审</w:t>
            </w:r>
          </w:p>
        </w:tc>
        <w:tc>
          <w:tcPr>
            <w:tcW w:w="674"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分值</w:t>
            </w:r>
          </w:p>
        </w:tc>
        <w:tc>
          <w:tcPr>
            <w:tcW w:w="4744"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评分标准</w:t>
            </w:r>
          </w:p>
        </w:tc>
        <w:tc>
          <w:tcPr>
            <w:tcW w:w="1476"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038" w:type="dxa"/>
            <w:gridSpan w:val="5"/>
            <w:vAlign w:val="center"/>
          </w:tcPr>
          <w:p>
            <w:pPr>
              <w:widowControl/>
              <w:spacing w:line="300" w:lineRule="exact"/>
              <w:jc w:val="left"/>
              <w:rPr>
                <w:rFonts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一、报价部分（总分</w:t>
            </w: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30</w:t>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jc w:val="center"/>
        </w:trPr>
        <w:tc>
          <w:tcPr>
            <w:tcW w:w="662" w:type="dxa"/>
            <w:vAlign w:val="center"/>
          </w:tcPr>
          <w:p>
            <w:pPr>
              <w:widowControl/>
              <w:spacing w:line="300" w:lineRule="exac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w:t>
            </w:r>
          </w:p>
        </w:tc>
        <w:tc>
          <w:tcPr>
            <w:tcW w:w="1482"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有效投标报价</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30</w:t>
            </w:r>
          </w:p>
        </w:tc>
        <w:tc>
          <w:tcPr>
            <w:tcW w:w="4744" w:type="dxa"/>
            <w:vAlign w:val="center"/>
          </w:tcPr>
          <w:p>
            <w:pPr>
              <w:widowControl/>
              <w:spacing w:line="300" w:lineRule="exact"/>
              <w:jc w:val="left"/>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第一步：最终报价在采购预算价格以下的，为有效报价。超出此范围的报价为无效报价。无效报价的投标文件不进行评审，也不中标。</w:t>
            </w:r>
          </w:p>
          <w:p>
            <w:pPr>
              <w:widowControl/>
              <w:spacing w:line="300" w:lineRule="exact"/>
              <w:jc w:val="left"/>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第二步：</w:t>
            </w:r>
            <w:r>
              <w:rPr>
                <w:rFonts w:hint="eastAsia" w:ascii="宋体" w:hAnsi="宋体" w:eastAsia="宋体" w:cs="宋体"/>
                <w:kern w:val="0"/>
                <w:sz w:val="24"/>
                <w:szCs w:val="24"/>
                <w:lang w:val="en-US" w:eastAsia="zh-CN" w:bidi="ar-SA"/>
              </w:rPr>
              <w:t>满足招标文件要求且投标价格最低的投标报价为评标基准价</w:t>
            </w:r>
            <w:r>
              <w:rPr>
                <w:rFonts w:hint="eastAsia" w:ascii="宋体" w:hAnsi="宋体" w:cs="宋体"/>
                <w:kern w:val="0"/>
                <w:sz w:val="24"/>
                <w:szCs w:val="24"/>
                <w:lang w:val="en-US" w:eastAsia="zh-CN" w:bidi="ar-SA"/>
              </w:rPr>
              <w:t>。</w:t>
            </w:r>
          </w:p>
          <w:p>
            <w:pPr>
              <w:widowControl/>
              <w:spacing w:line="300" w:lineRule="exact"/>
              <w:jc w:val="left"/>
              <w:rPr>
                <w:rFonts w:asciiTheme="minorEastAsia" w:hAnsiTheme="minorEastAsia" w:eastAsiaTheme="minorEastAsia" w:cstheme="minorEastAsia"/>
                <w:kern w:val="0"/>
                <w:szCs w:val="21"/>
              </w:rPr>
            </w:pPr>
            <w:r>
              <w:rPr>
                <w:rFonts w:hint="eastAsia" w:ascii="宋体" w:hAnsi="宋体" w:cs="宋体"/>
                <w:kern w:val="0"/>
                <w:sz w:val="24"/>
                <w:szCs w:val="24"/>
                <w:lang w:val="en-US" w:eastAsia="zh-CN" w:bidi="ar-SA"/>
              </w:rPr>
              <w:t>第三步：将所有有效报价与基准价相比较：等于基准价的得分30分，</w:t>
            </w:r>
            <w:r>
              <w:rPr>
                <w:rFonts w:hint="eastAsia" w:ascii="宋体" w:hAnsi="宋体" w:eastAsia="宋体" w:cs="宋体"/>
                <w:kern w:val="0"/>
                <w:sz w:val="24"/>
                <w:szCs w:val="24"/>
                <w:lang w:val="en-US" w:eastAsia="zh-CN" w:bidi="ar-SA"/>
              </w:rPr>
              <w:t>其他投标人的价格分统一按照下列公式计算（计算结果四舍五入保留两位小数）：最终报价得分＝（基准报价/报价）×30%×100</w:t>
            </w:r>
          </w:p>
        </w:tc>
        <w:tc>
          <w:tcPr>
            <w:tcW w:w="1476"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b/>
                <w:bCs/>
                <w:kern w:val="0"/>
                <w:szCs w:val="21"/>
                <w:lang w:val="en-US" w:eastAsia="zh-CN"/>
              </w:rPr>
              <w:t>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038" w:type="dxa"/>
            <w:gridSpan w:val="5"/>
            <w:vAlign w:val="center"/>
          </w:tcPr>
          <w:p>
            <w:pPr>
              <w:widowControl/>
              <w:spacing w:line="300" w:lineRule="exact"/>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二、技术部分（总分</w:t>
            </w:r>
            <w:r>
              <w:rPr>
                <w:rFonts w:hint="eastAsia" w:asciiTheme="minorEastAsia" w:hAnsiTheme="minorEastAsia" w:eastAsiaTheme="minorEastAsia" w:cstheme="minorEastAsia"/>
                <w:b/>
                <w:bCs/>
                <w:kern w:val="0"/>
                <w:szCs w:val="21"/>
                <w:lang w:val="en-US" w:eastAsia="zh-CN"/>
              </w:rPr>
              <w:t>1</w:t>
            </w:r>
            <w:r>
              <w:rPr>
                <w:rFonts w:hint="eastAsia" w:asciiTheme="minorEastAsia" w:hAnsiTheme="minorEastAsia" w:eastAsiaTheme="minorEastAsia" w:cstheme="minorEastAsia"/>
                <w:b/>
                <w:bCs/>
                <w:kern w:val="0"/>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jc w:val="center"/>
        </w:trPr>
        <w:tc>
          <w:tcPr>
            <w:tcW w:w="66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48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业绩</w:t>
            </w:r>
          </w:p>
        </w:tc>
        <w:tc>
          <w:tcPr>
            <w:tcW w:w="674" w:type="dxa"/>
            <w:vAlign w:val="center"/>
          </w:tcPr>
          <w:p>
            <w:pPr>
              <w:widowControl/>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10</w:t>
            </w:r>
          </w:p>
        </w:tc>
        <w:tc>
          <w:tcPr>
            <w:tcW w:w="4744" w:type="dxa"/>
            <w:vAlign w:val="center"/>
          </w:tcPr>
          <w:p>
            <w:pPr>
              <w:pStyle w:val="9"/>
              <w:jc w:val="both"/>
            </w:pPr>
            <w:r>
              <w:rPr>
                <w:rFonts w:hint="eastAsia" w:ascii="宋体" w:hAnsi="宋体" w:cs="仿宋"/>
                <w:sz w:val="24"/>
              </w:rPr>
              <w:t>供应商提供</w:t>
            </w:r>
            <w:r>
              <w:rPr>
                <w:rFonts w:hint="eastAsia" w:ascii="宋体" w:hAnsi="宋体" w:cs="仿宋"/>
                <w:sz w:val="24"/>
                <w:lang w:val="en-US" w:eastAsia="zh-CN"/>
              </w:rPr>
              <w:t>自2019年1月1日至今承接过类似工程得合同</w:t>
            </w:r>
            <w:r>
              <w:rPr>
                <w:rFonts w:hint="eastAsia" w:ascii="宋体" w:hAnsi="宋体" w:cs="仿宋"/>
                <w:sz w:val="24"/>
              </w:rPr>
              <w:t>（以合同签订时间为准）</w:t>
            </w:r>
            <w:r>
              <w:rPr>
                <w:rFonts w:hint="eastAsia" w:ascii="宋体" w:hAnsi="宋体" w:cs="仿宋"/>
                <w:b/>
                <w:sz w:val="24"/>
              </w:rPr>
              <w:t>。限2份，有一份得</w:t>
            </w:r>
            <w:r>
              <w:rPr>
                <w:rFonts w:hint="eastAsia" w:ascii="宋体" w:hAnsi="宋体" w:cs="仿宋"/>
                <w:b/>
                <w:sz w:val="24"/>
                <w:lang w:val="en-US" w:eastAsia="zh-CN"/>
              </w:rPr>
              <w:t>5</w:t>
            </w:r>
            <w:r>
              <w:rPr>
                <w:rFonts w:hint="eastAsia" w:ascii="宋体" w:hAnsi="宋体" w:cs="仿宋"/>
                <w:b/>
                <w:sz w:val="24"/>
              </w:rPr>
              <w:t>分。</w:t>
            </w:r>
            <w:r>
              <w:rPr>
                <w:rFonts w:hint="eastAsia" w:ascii="宋体" w:hAnsi="宋体" w:cs="仿宋"/>
                <w:b/>
                <w:bCs/>
                <w:sz w:val="24"/>
              </w:rPr>
              <w:t>否则不得分。</w:t>
            </w:r>
          </w:p>
        </w:tc>
        <w:tc>
          <w:tcPr>
            <w:tcW w:w="1476" w:type="dxa"/>
            <w:vAlign w:val="center"/>
          </w:tcPr>
          <w:p>
            <w:pPr>
              <w:widowControl/>
              <w:rPr>
                <w:b/>
                <w:bCs/>
              </w:rPr>
            </w:pPr>
          </w:p>
          <w:p>
            <w:pPr>
              <w:widowControl/>
              <w:rPr>
                <w:b/>
                <w:bCs/>
              </w:rPr>
            </w:pPr>
          </w:p>
          <w:p>
            <w:pPr>
              <w:widowControl/>
              <w:rPr>
                <w:b/>
                <w:bCs/>
              </w:rPr>
            </w:pPr>
          </w:p>
          <w:p>
            <w:pPr>
              <w:widowControl/>
              <w:rPr>
                <w:b/>
                <w:bCs/>
              </w:rPr>
            </w:pPr>
            <w:r>
              <w:rPr>
                <w:rFonts w:hint="eastAsia"/>
                <w:b/>
                <w:bCs/>
              </w:rPr>
              <w:t>提供扫描件（盖章）或原件核查，否则不得分。</w:t>
            </w:r>
          </w:p>
          <w:p>
            <w:pPr>
              <w:pStyle w:val="3"/>
            </w:p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38" w:type="dxa"/>
            <w:gridSpan w:val="5"/>
            <w:vAlign w:val="center"/>
          </w:tcPr>
          <w:p>
            <w:pPr>
              <w:widowControl/>
              <w:spacing w:line="300" w:lineRule="exact"/>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b/>
                <w:bCs/>
                <w:kern w:val="0"/>
                <w:szCs w:val="21"/>
                <w:lang w:val="en-US" w:eastAsia="zh-CN"/>
              </w:rPr>
              <w:t>三、技术部分（总分60分）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62" w:type="dxa"/>
            <w:vMerge w:val="restart"/>
            <w:vAlign w:val="center"/>
          </w:tcPr>
          <w:p>
            <w:pPr>
              <w:widowControl/>
              <w:spacing w:line="300" w:lineRule="exact"/>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p>
            <w:pPr>
              <w:widowControl/>
              <w:spacing w:line="300" w:lineRule="exact"/>
              <w:jc w:val="center"/>
              <w:rPr>
                <w:rFonts w:hint="default" w:asciiTheme="minorEastAsia" w:hAnsiTheme="minorEastAsia" w:eastAsiaTheme="minorEastAsia" w:cstheme="minorEastAsia"/>
                <w:kern w:val="0"/>
                <w:szCs w:val="21"/>
                <w:lang w:val="en-US" w:eastAsia="zh-CN"/>
              </w:rPr>
            </w:pPr>
          </w:p>
        </w:tc>
        <w:tc>
          <w:tcPr>
            <w:tcW w:w="1482" w:type="dxa"/>
            <w:vMerge w:val="restart"/>
            <w:vAlign w:val="center"/>
          </w:tcPr>
          <w:p>
            <w:pPr>
              <w:widowControl/>
              <w:spacing w:line="300" w:lineRule="exact"/>
              <w:jc w:val="center"/>
              <w:rPr>
                <w:rFonts w:hint="eastAsia" w:ascii="宋体" w:hAnsi="宋体" w:cs="仿宋"/>
                <w:kern w:val="0"/>
                <w:sz w:val="24"/>
              </w:rPr>
            </w:pPr>
            <w:r>
              <w:rPr>
                <w:rFonts w:hint="eastAsia" w:ascii="宋体" w:hAnsi="宋体" w:cs="仿宋"/>
                <w:kern w:val="0"/>
                <w:sz w:val="24"/>
              </w:rPr>
              <w:t>施工组织</w:t>
            </w:r>
          </w:p>
          <w:p>
            <w:pPr>
              <w:widowControl/>
              <w:spacing w:line="300" w:lineRule="exact"/>
              <w:jc w:val="center"/>
              <w:rPr>
                <w:rFonts w:asciiTheme="minorEastAsia" w:hAnsiTheme="minorEastAsia" w:eastAsiaTheme="minorEastAsia" w:cstheme="minorEastAsia"/>
                <w:kern w:val="0"/>
                <w:szCs w:val="21"/>
              </w:rPr>
            </w:pPr>
            <w:r>
              <w:rPr>
                <w:rFonts w:hint="eastAsia" w:ascii="宋体" w:hAnsi="宋体" w:cs="仿宋"/>
                <w:kern w:val="0"/>
                <w:sz w:val="24"/>
              </w:rPr>
              <w:t>设计</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15</w:t>
            </w:r>
          </w:p>
        </w:tc>
        <w:tc>
          <w:tcPr>
            <w:tcW w:w="4744" w:type="dxa"/>
            <w:vAlign w:val="center"/>
          </w:tcPr>
          <w:p>
            <w:pPr>
              <w:pStyle w:val="3"/>
              <w:numPr>
                <w:ilvl w:val="0"/>
                <w:numId w:val="7"/>
              </w:numPr>
              <w:rPr>
                <w:rFonts w:hint="eastAsia"/>
                <w:lang w:val="en-US" w:eastAsia="zh-CN"/>
              </w:rPr>
            </w:pPr>
            <w:r>
              <w:rPr>
                <w:rFonts w:hint="eastAsia"/>
                <w:lang w:val="en-US" w:eastAsia="zh-CN"/>
              </w:rPr>
              <w:t>总体概述：包括工程概况、施工组织总体设想及施工段的划分：</w:t>
            </w:r>
          </w:p>
          <w:p>
            <w:pPr>
              <w:pStyle w:val="3"/>
              <w:numPr>
                <w:ilvl w:val="0"/>
                <w:numId w:val="0"/>
              </w:numPr>
              <w:rPr>
                <w:rFonts w:hint="eastAsia"/>
                <w:lang w:val="en-US" w:eastAsia="zh-CN"/>
              </w:rPr>
            </w:pPr>
            <w:r>
              <w:rPr>
                <w:rFonts w:hint="eastAsia"/>
                <w:lang w:val="en-US" w:eastAsia="zh-CN"/>
              </w:rPr>
              <w:t>15.0分≥优大于10.0分，10.0分≥良＞5.0，</w:t>
            </w:r>
          </w:p>
          <w:p>
            <w:pPr>
              <w:pStyle w:val="3"/>
              <w:numPr>
                <w:ilvl w:val="0"/>
                <w:numId w:val="0"/>
              </w:numPr>
              <w:rPr>
                <w:rFonts w:hint="default" w:eastAsia="宋体"/>
                <w:lang w:val="en-US" w:eastAsia="zh-CN"/>
              </w:rPr>
            </w:pPr>
            <w:r>
              <w:rPr>
                <w:rFonts w:hint="eastAsia"/>
                <w:lang w:val="en-US" w:eastAsia="zh-CN"/>
              </w:rPr>
              <w:t>5.0≥差＞0，无不得分。</w:t>
            </w: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662" w:type="dxa"/>
            <w:vMerge w:val="continue"/>
            <w:vAlign w:val="center"/>
          </w:tcPr>
          <w:p>
            <w:pPr>
              <w:widowControl/>
              <w:spacing w:line="300" w:lineRule="exact"/>
              <w:jc w:val="center"/>
              <w:rPr>
                <w:rFonts w:hint="eastAsia" w:asciiTheme="minorEastAsia" w:hAnsiTheme="minorEastAsia" w:eastAsiaTheme="minorEastAsia" w:cstheme="minorEastAsia"/>
                <w:kern w:val="0"/>
                <w:szCs w:val="21"/>
                <w:lang w:eastAsia="zh-CN"/>
              </w:rPr>
            </w:pPr>
          </w:p>
        </w:tc>
        <w:tc>
          <w:tcPr>
            <w:tcW w:w="1482" w:type="dxa"/>
            <w:vMerge w:val="continue"/>
            <w:vAlign w:val="center"/>
          </w:tcPr>
          <w:p>
            <w:pPr>
              <w:widowControl/>
              <w:spacing w:line="300" w:lineRule="exact"/>
              <w:jc w:val="center"/>
              <w:rPr>
                <w:rFonts w:asciiTheme="minorEastAsia" w:hAnsiTheme="minorEastAsia" w:eastAsiaTheme="minorEastAsia" w:cstheme="minorEastAsia"/>
                <w:kern w:val="0"/>
                <w:szCs w:val="21"/>
              </w:rPr>
            </w:pP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10</w:t>
            </w:r>
          </w:p>
        </w:tc>
        <w:tc>
          <w:tcPr>
            <w:tcW w:w="4744" w:type="dxa"/>
            <w:vAlign w:val="center"/>
          </w:tcPr>
          <w:p>
            <w:pPr>
              <w:pStyle w:val="3"/>
              <w:numPr>
                <w:ilvl w:val="0"/>
                <w:numId w:val="7"/>
              </w:numPr>
              <w:ind w:left="0" w:leftChars="0" w:firstLine="0" w:firstLineChars="0"/>
              <w:rPr>
                <w:rFonts w:hint="eastAsia"/>
                <w:lang w:val="en-US" w:eastAsia="zh-CN"/>
              </w:rPr>
            </w:pPr>
            <w:r>
              <w:rPr>
                <w:rFonts w:hint="eastAsia"/>
                <w:lang w:val="en-US" w:eastAsia="zh-CN"/>
              </w:rPr>
              <w:t>施工现场平面布置图：根据甲方提供的平面图合理布置导视位置，并标明包括临时设施的布置，施工机械、材料、周转材料、加工场地、各类仓库的布置摆放；临时线路的布置等。</w:t>
            </w:r>
          </w:p>
          <w:p>
            <w:pPr>
              <w:pStyle w:val="3"/>
              <w:numPr>
                <w:ilvl w:val="0"/>
                <w:numId w:val="0"/>
              </w:numPr>
              <w:rPr>
                <w:rFonts w:hint="eastAsia"/>
                <w:lang w:val="en-US" w:eastAsia="zh-CN"/>
              </w:rPr>
            </w:pPr>
            <w:r>
              <w:rPr>
                <w:rFonts w:hint="eastAsia"/>
                <w:lang w:val="en-US" w:eastAsia="zh-CN"/>
              </w:rPr>
              <w:t>10.0分≥优大于7.0分，7.0分≥良＞4.0，</w:t>
            </w:r>
          </w:p>
          <w:p>
            <w:pPr>
              <w:numPr>
                <w:ilvl w:val="0"/>
                <w:numId w:val="0"/>
              </w:numPr>
              <w:ind w:leftChars="0"/>
              <w:rPr>
                <w:rFonts w:hint="default"/>
                <w:lang w:val="en-US" w:eastAsia="zh-CN"/>
              </w:rPr>
            </w:pPr>
            <w:r>
              <w:rPr>
                <w:rFonts w:hint="eastAsia"/>
                <w:lang w:val="en-US" w:eastAsia="zh-CN"/>
              </w:rPr>
              <w:t>4.0≥差＞0，无不得分。</w:t>
            </w: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662" w:type="dxa"/>
            <w:vMerge w:val="continue"/>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p>
        </w:tc>
        <w:tc>
          <w:tcPr>
            <w:tcW w:w="1482" w:type="dxa"/>
            <w:vMerge w:val="continue"/>
            <w:vAlign w:val="center"/>
          </w:tcPr>
          <w:p>
            <w:pPr>
              <w:widowControl/>
              <w:spacing w:line="300" w:lineRule="exact"/>
              <w:jc w:val="center"/>
              <w:rPr>
                <w:rFonts w:asciiTheme="minorEastAsia" w:hAnsiTheme="minorEastAsia" w:eastAsiaTheme="minorEastAsia" w:cstheme="minorEastAsia"/>
                <w:kern w:val="0"/>
                <w:szCs w:val="21"/>
              </w:rPr>
            </w:pP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10</w:t>
            </w:r>
          </w:p>
        </w:tc>
        <w:tc>
          <w:tcPr>
            <w:tcW w:w="4744" w:type="dxa"/>
            <w:vAlign w:val="center"/>
          </w:tcPr>
          <w:p>
            <w:pPr>
              <w:pStyle w:val="3"/>
              <w:numPr>
                <w:ilvl w:val="0"/>
                <w:numId w:val="7"/>
              </w:numPr>
              <w:ind w:left="0" w:leftChars="0" w:firstLine="0" w:firstLineChars="0"/>
              <w:rPr>
                <w:rFonts w:hint="eastAsia"/>
                <w:lang w:val="en-US" w:eastAsia="zh-CN"/>
              </w:rPr>
            </w:pPr>
            <w:r>
              <w:rPr>
                <w:rFonts w:hint="eastAsia"/>
                <w:lang w:val="en-US" w:eastAsia="zh-CN"/>
              </w:rPr>
              <w:t>评委对本工程特点提出的针对安全防护措施、环境污染、噪音保证措施、质量保证措施及进度计划进行打分：</w:t>
            </w:r>
          </w:p>
          <w:p>
            <w:pPr>
              <w:pStyle w:val="3"/>
              <w:numPr>
                <w:ilvl w:val="0"/>
                <w:numId w:val="0"/>
              </w:numPr>
              <w:ind w:leftChars="0"/>
              <w:rPr>
                <w:rFonts w:hint="default"/>
                <w:lang w:val="en-US" w:eastAsia="zh-CN"/>
              </w:rPr>
            </w:pPr>
            <w:r>
              <w:rPr>
                <w:rFonts w:hint="eastAsia"/>
                <w:lang w:val="en-US" w:eastAsia="zh-CN"/>
              </w:rPr>
              <w:t>10.0分≥优大于7.0分，7.0分≥良＞4.0，4.0≥差＞0，无不得分。</w:t>
            </w: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6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w:t>
            </w:r>
          </w:p>
        </w:tc>
        <w:tc>
          <w:tcPr>
            <w:tcW w:w="148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合理化建议</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10</w:t>
            </w:r>
          </w:p>
        </w:tc>
        <w:tc>
          <w:tcPr>
            <w:tcW w:w="4744" w:type="dxa"/>
            <w:vAlign w:val="center"/>
          </w:tcPr>
          <w:p>
            <w:pPr>
              <w:pStyle w:val="3"/>
              <w:numPr>
                <w:ilvl w:val="0"/>
                <w:numId w:val="0"/>
              </w:numPr>
              <w:ind w:leftChars="0"/>
              <w:rPr>
                <w:rFonts w:hint="default"/>
                <w:lang w:val="en-US" w:eastAsia="zh-CN"/>
              </w:rPr>
            </w:pPr>
            <w:r>
              <w:rPr>
                <w:rFonts w:hint="eastAsia"/>
                <w:lang w:val="en-US" w:eastAsia="zh-CN"/>
              </w:rPr>
              <w:t>针对本工程的合理化建议：10.0分≥优大于7.0分，7.0分≥良＞4.0，4.0≥差＞0，无不得分。</w:t>
            </w: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66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w:t>
            </w:r>
          </w:p>
        </w:tc>
        <w:tc>
          <w:tcPr>
            <w:tcW w:w="148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售后服务</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10</w:t>
            </w:r>
          </w:p>
        </w:tc>
        <w:tc>
          <w:tcPr>
            <w:tcW w:w="4744" w:type="dxa"/>
            <w:vAlign w:val="center"/>
          </w:tcPr>
          <w:p>
            <w:pPr>
              <w:pStyle w:val="3"/>
              <w:numPr>
                <w:ilvl w:val="0"/>
                <w:numId w:val="0"/>
              </w:numPr>
              <w:ind w:leftChars="0"/>
              <w:rPr>
                <w:rFonts w:hint="eastAsia"/>
                <w:lang w:val="en-US" w:eastAsia="zh-CN"/>
              </w:rPr>
            </w:pPr>
            <w:r>
              <w:rPr>
                <w:rFonts w:hint="eastAsia"/>
                <w:lang w:val="en-US" w:eastAsia="zh-CN"/>
              </w:rPr>
              <w:t>评委根据投标人提供的售后服务方案进行酌情打分：10.0分≥优大于7.0分，7.0分≥良＞4.0，4.0≥差＞0，无不得分。</w:t>
            </w:r>
          </w:p>
          <w:p>
            <w:pPr>
              <w:rPr>
                <w:rFonts w:hint="default"/>
                <w:lang w:val="en-US" w:eastAsia="zh-CN"/>
              </w:rPr>
            </w:pPr>
            <w:r>
              <w:rPr>
                <w:rFonts w:hint="eastAsia"/>
                <w:lang w:val="en-US" w:eastAsia="zh-CN"/>
              </w:rPr>
              <w:t>（具体包括：质保期限、售后相应时间和服务体系，服务承诺的可行性、完整性以及服务承诺落实的保障措施，质保期过后维修收费情况及内容的介绍等方面）</w:t>
            </w: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66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4</w:t>
            </w:r>
          </w:p>
        </w:tc>
        <w:tc>
          <w:tcPr>
            <w:tcW w:w="148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服务响应</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5</w:t>
            </w:r>
          </w:p>
        </w:tc>
        <w:tc>
          <w:tcPr>
            <w:tcW w:w="4744" w:type="dxa"/>
            <w:vAlign w:val="center"/>
          </w:tcPr>
          <w:p>
            <w:pPr>
              <w:rPr>
                <w:rFonts w:hint="default"/>
                <w:lang w:val="en-US" w:eastAsia="zh-CN"/>
              </w:rPr>
            </w:pPr>
            <w:r>
              <w:rPr>
                <w:rFonts w:hint="eastAsia"/>
                <w:lang w:val="en-US" w:eastAsia="zh-CN"/>
              </w:rPr>
              <w:t>投标人承诺在质保期内遇到突发状况2小时内到达得2分；1小时内到达得5分；不承诺得不得分。</w:t>
            </w:r>
          </w:p>
        </w:tc>
        <w:tc>
          <w:tcPr>
            <w:tcW w:w="1476" w:type="dxa"/>
            <w:vAlign w:val="center"/>
          </w:tcPr>
          <w:p>
            <w:pPr>
              <w:widowControl/>
              <w:spacing w:line="300" w:lineRule="exact"/>
              <w:jc w:val="center"/>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以承诺书</w:t>
            </w:r>
          </w:p>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b/>
                <w:bCs/>
                <w:kern w:val="0"/>
                <w:szCs w:val="21"/>
                <w:lang w:val="en-US" w:eastAsia="zh-CN"/>
              </w:rPr>
              <w:t>为准</w:t>
            </w:r>
          </w:p>
        </w:tc>
      </w:tr>
    </w:tbl>
    <w:p>
      <w:pPr>
        <w:tabs>
          <w:tab w:val="left" w:pos="5940"/>
        </w:tabs>
        <w:snapToGrid w:val="0"/>
        <w:spacing w:line="400" w:lineRule="exact"/>
        <w:jc w:val="left"/>
        <w:rPr>
          <w:rFonts w:ascii="宋体" w:hAnsi="宋体" w:cs="宋体"/>
          <w:b/>
          <w:szCs w:val="21"/>
        </w:rPr>
      </w:pPr>
      <w:r>
        <w:rPr>
          <w:rFonts w:hint="eastAsia" w:ascii="宋体" w:hAnsi="宋体" w:cs="宋体"/>
          <w:b/>
          <w:szCs w:val="21"/>
        </w:rPr>
        <w:t xml:space="preserve">注： </w:t>
      </w:r>
    </w:p>
    <w:p>
      <w:pPr>
        <w:tabs>
          <w:tab w:val="left" w:pos="5940"/>
        </w:tabs>
        <w:snapToGrid w:val="0"/>
        <w:spacing w:line="400" w:lineRule="exact"/>
        <w:ind w:firstLine="402" w:firstLineChars="200"/>
        <w:jc w:val="left"/>
        <w:rPr>
          <w:rFonts w:ascii="宋体" w:hAnsi="宋体" w:cs="宋体"/>
          <w:b/>
          <w:sz w:val="20"/>
          <w:szCs w:val="20"/>
        </w:rPr>
      </w:pPr>
      <w:r>
        <w:rPr>
          <w:rFonts w:hint="eastAsia" w:ascii="宋体" w:hAnsi="宋体" w:cs="宋体"/>
          <w:b/>
          <w:sz w:val="20"/>
          <w:szCs w:val="20"/>
        </w:rPr>
        <w:t>1.评分细则中要求提供的证明文件及资料等在投标文件中提供复印件并加盖公章，要求“原件或公证件核查”的必须将原件或公证件携带至开标现场核查，否则不得分。</w:t>
      </w:r>
    </w:p>
    <w:p>
      <w:pPr>
        <w:tabs>
          <w:tab w:val="left" w:pos="5940"/>
        </w:tabs>
        <w:snapToGrid w:val="0"/>
        <w:spacing w:line="400" w:lineRule="exact"/>
        <w:ind w:firstLine="402" w:firstLineChars="200"/>
        <w:jc w:val="left"/>
        <w:rPr>
          <w:rFonts w:ascii="宋体" w:hAnsi="宋体" w:cs="宋体"/>
          <w:b/>
          <w:sz w:val="20"/>
          <w:szCs w:val="20"/>
        </w:rPr>
      </w:pPr>
      <w:r>
        <w:rPr>
          <w:rFonts w:hint="eastAsia" w:ascii="宋体" w:hAnsi="宋体" w:cs="宋体"/>
          <w:b/>
          <w:sz w:val="20"/>
          <w:szCs w:val="20"/>
        </w:rPr>
        <w:t>2.评标时，未能按以上要求提供相应证明（加盖公章的扫描件或原件或公证件）的，不作为评标依据，不得分。</w:t>
      </w:r>
    </w:p>
    <w:p>
      <w:pPr>
        <w:spacing w:line="400" w:lineRule="exact"/>
        <w:ind w:firstLine="402" w:firstLineChars="200"/>
        <w:rPr>
          <w:rFonts w:ascii="宋体" w:hAnsi="宋体" w:cs="宋体"/>
          <w:b/>
          <w:sz w:val="20"/>
          <w:szCs w:val="20"/>
          <w:highlight w:val="yellow"/>
        </w:rPr>
      </w:pPr>
      <w:r>
        <w:rPr>
          <w:rFonts w:hint="eastAsia" w:ascii="宋体" w:hAnsi="宋体" w:cs="宋体"/>
          <w:b/>
          <w:sz w:val="20"/>
          <w:szCs w:val="20"/>
        </w:rPr>
        <w:t>3.在递交投标文件时投标单位应将所有企业原件（或公证件或加盖公章的扫描件）一并提交至招标代理机构，投标文件递交时间截止，招标代理机构将不接收任何资料及原件。</w:t>
      </w:r>
    </w:p>
    <w:p>
      <w:pPr>
        <w:widowControl/>
        <w:spacing w:line="400" w:lineRule="exact"/>
        <w:ind w:firstLine="402" w:firstLineChars="200"/>
        <w:jc w:val="left"/>
        <w:rPr>
          <w:rFonts w:ascii="宋体" w:hAnsi="宋体" w:cs="宋体"/>
          <w:b/>
          <w:sz w:val="20"/>
          <w:szCs w:val="20"/>
        </w:rPr>
      </w:pPr>
      <w:r>
        <w:rPr>
          <w:rFonts w:hint="eastAsia" w:ascii="宋体" w:hAnsi="宋体" w:cs="宋体"/>
          <w:b/>
          <w:sz w:val="20"/>
          <w:szCs w:val="20"/>
        </w:rPr>
        <w:t>4.为便于评分，请投标单位按评分表样式，逐条列出证明材料所在页码，格式自拟。</w:t>
      </w:r>
    </w:p>
    <w:bookmarkEnd w:id="26"/>
    <w:p>
      <w:pPr>
        <w:pStyle w:val="4"/>
        <w:snapToGrid w:val="0"/>
        <w:spacing w:before="156" w:beforeLines="50" w:line="276" w:lineRule="auto"/>
        <w:ind w:left="0" w:firstLine="0"/>
        <w:rPr>
          <w:rFonts w:asciiTheme="minorEastAsia" w:hAnsiTheme="minorEastAsia" w:eastAsiaTheme="minorEastAsia" w:cstheme="minorEastAsia"/>
          <w:sz w:val="30"/>
          <w:szCs w:val="30"/>
        </w:rPr>
      </w:pPr>
      <w:bookmarkStart w:id="117" w:name="_Toc45823536"/>
      <w:r>
        <w:rPr>
          <w:rFonts w:hint="eastAsia" w:asciiTheme="minorEastAsia" w:hAnsiTheme="minorEastAsia" w:eastAsiaTheme="minorEastAsia" w:cstheme="minorEastAsia"/>
          <w:sz w:val="30"/>
          <w:szCs w:val="30"/>
        </w:rPr>
        <w:t>第九章  合同</w:t>
      </w:r>
      <w:bookmarkEnd w:id="117"/>
    </w:p>
    <w:p/>
    <w:p>
      <w:pPr>
        <w:rPr>
          <w:b/>
          <w:bCs/>
          <w:sz w:val="24"/>
          <w:szCs w:val="32"/>
        </w:rPr>
      </w:pPr>
      <w:r>
        <w:rPr>
          <w:rFonts w:hint="eastAsia"/>
          <w:b/>
          <w:bCs/>
          <w:sz w:val="24"/>
          <w:szCs w:val="32"/>
        </w:rPr>
        <w:t>（参考格式，本合同内容条款在正式签署前可具体补充细化，仅做参考，最终合同以采购人审查通过的版本为准）</w:t>
      </w:r>
    </w:p>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微软雅黑" w:hAnsi="微软雅黑" w:eastAsia="微软雅黑" w:cs="微软雅黑"/>
          <w:kern w:val="0"/>
          <w:sz w:val="24"/>
          <w:szCs w:val="24"/>
          <w:lang w:val="zh-CN"/>
        </w:rPr>
      </w:pPr>
      <w:bookmarkStart w:id="118" w:name="_Toc351203632"/>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r>
        <w:rPr>
          <w:rFonts w:hint="eastAsia" w:ascii="微软雅黑" w:hAnsi="微软雅黑" w:eastAsia="微软雅黑" w:cs="微软雅黑"/>
          <w:kern w:val="0"/>
          <w:sz w:val="24"/>
          <w:szCs w:val="24"/>
          <w:lang w:val="zh-CN"/>
        </w:rPr>
        <w:t>　　</w:t>
      </w:r>
      <w:r>
        <w:rPr>
          <w:rFonts w:hint="eastAsia" w:ascii="宋体" w:hAnsi="宋体"/>
          <w:sz w:val="24"/>
          <w:lang w:val="zh-CN"/>
        </w:rPr>
        <w:t>发包方（甲方）：</w:t>
      </w:r>
      <w:r>
        <w:rPr>
          <w:rFonts w:hint="eastAsia" w:ascii="宋体" w:hAnsi="宋体"/>
          <w:sz w:val="24"/>
          <w:u w:val="single"/>
          <w:lang w:val="zh-CN"/>
        </w:rPr>
        <w:t>常州市天宁区青龙街道勤业村股份经济合作社</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r>
        <w:rPr>
          <w:rFonts w:hint="eastAsia" w:ascii="宋体" w:hAnsi="宋体"/>
          <w:sz w:val="24"/>
          <w:lang w:val="zh-CN"/>
        </w:rPr>
        <w:t>　　承包方（乙方）：</w:t>
      </w:r>
      <w:r>
        <w:rPr>
          <w:rFonts w:hint="eastAsia" w:ascii="宋体" w:hAnsi="宋体"/>
          <w:sz w:val="24"/>
          <w:u w:val="single"/>
          <w:lang w:val="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r>
        <w:rPr>
          <w:rFonts w:hint="eastAsia" w:ascii="宋体" w:hAnsi="宋体"/>
          <w:sz w:val="24"/>
          <w:lang w:val="zh-CN"/>
        </w:rPr>
        <w:t>　　</w:t>
      </w:r>
      <w:r>
        <w:rPr>
          <w:rFonts w:ascii="宋体" w:hAnsi="宋体"/>
          <w:sz w:val="24"/>
        </w:rPr>
        <w:t>根据《中华人民共和国</w:t>
      </w:r>
      <w:r>
        <w:rPr>
          <w:rFonts w:hint="eastAsia" w:ascii="宋体" w:hAnsi="宋体"/>
          <w:sz w:val="24"/>
          <w:lang w:eastAsia="zh-CN"/>
        </w:rPr>
        <w:t>民法典</w:t>
      </w:r>
      <w:r>
        <w:rPr>
          <w:rFonts w:ascii="宋体" w:hAnsi="宋体"/>
          <w:sz w:val="24"/>
        </w:rPr>
        <w:t>》、《中华人民共和国建筑法》及有关法律规定，</w:t>
      </w:r>
      <w:r>
        <w:rPr>
          <w:rFonts w:hint="eastAsia" w:ascii="宋体" w:hAnsi="宋体"/>
          <w:sz w:val="24"/>
          <w:lang w:val="zh-CN"/>
        </w:rPr>
        <w:t xml:space="preserve">结合本工程具体情况，双方达成如下协议。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r>
        <w:rPr>
          <w:rFonts w:hint="eastAsia" w:ascii="宋体" w:hAnsi="宋体"/>
          <w:sz w:val="24"/>
          <w:lang w:val="zh-CN"/>
        </w:rPr>
        <w:t xml:space="preserve">　　第一条　工程概况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u w:val="single"/>
          <w:lang w:val="zh-CN"/>
        </w:rPr>
      </w:pPr>
      <w:r>
        <w:rPr>
          <w:rFonts w:hint="eastAsia" w:ascii="宋体" w:hAnsi="宋体"/>
          <w:sz w:val="24"/>
          <w:lang w:val="zh-CN"/>
        </w:rPr>
        <w:t>　　１．１　工程名称:</w:t>
      </w:r>
      <w:r>
        <w:rPr>
          <w:rFonts w:hint="eastAsia" w:ascii="宋体" w:hAnsi="宋体"/>
          <w:sz w:val="24"/>
          <w:u w:val="single"/>
          <w:lang w:val="zh-CN"/>
        </w:rPr>
        <w:t xml:space="preserve"> 新堂路金碧辉园区改造</w:t>
      </w:r>
      <w:r>
        <w:rPr>
          <w:rFonts w:hint="eastAsia" w:ascii="宋体" w:hAnsi="宋体"/>
          <w:sz w:val="24"/>
          <w:u w:val="single"/>
          <w:lang w:val="en-US" w:eastAsia="zh-CN"/>
        </w:rPr>
        <w:t>项目</w:t>
      </w:r>
      <w:r>
        <w:rPr>
          <w:rFonts w:hint="eastAsia" w:ascii="宋体" w:hAnsi="宋体"/>
          <w:sz w:val="24"/>
          <w:u w:val="single"/>
          <w:lang w:val="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sz w:val="24"/>
          <w:lang w:val="zh-CN"/>
        </w:rPr>
        <w:t>　</w:t>
      </w:r>
      <w:r>
        <w:rPr>
          <w:rFonts w:hint="eastAsia" w:ascii="宋体" w:hAnsi="宋体"/>
          <w:color w:val="000000" w:themeColor="text1"/>
          <w:sz w:val="24"/>
          <w:lang w:val="zh-CN"/>
          <w14:textFill>
            <w14:solidFill>
              <w14:schemeClr w14:val="tx1"/>
            </w14:solidFill>
          </w14:textFill>
        </w:rPr>
        <w:t>　１．２　工程地点：</w:t>
      </w:r>
      <w:r>
        <w:rPr>
          <w:rFonts w:hint="eastAsia" w:ascii="宋体" w:hAnsi="宋体"/>
          <w:color w:val="000000" w:themeColor="text1"/>
          <w:sz w:val="24"/>
          <w:u w:val="single"/>
          <w:lang w:val="zh-CN"/>
          <w14:textFill>
            <w14:solidFill>
              <w14:schemeClr w14:val="tx1"/>
            </w14:solidFill>
          </w14:textFill>
        </w:rPr>
        <w:t xml:space="preserve"> 新堂路金碧辉园区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１．３　承包范围：</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u w:val="single"/>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１．４　承包方式：</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u w:val="none"/>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１．５　工期：</w:t>
      </w:r>
      <w:r>
        <w:rPr>
          <w:rFonts w:hint="eastAsia" w:ascii="宋体" w:hAnsi="宋体"/>
          <w:color w:val="000000" w:themeColor="text1"/>
          <w:sz w:val="24"/>
          <w:lang w:val="en-US" w:eastAsia="zh-CN"/>
          <w14:textFill>
            <w14:solidFill>
              <w14:schemeClr w14:val="tx1"/>
            </w14:solidFill>
          </w14:textFill>
        </w:rPr>
        <w:t>45天：</w:t>
      </w:r>
      <w:r>
        <w:rPr>
          <w:rFonts w:hint="eastAsia" w:ascii="宋体" w:hAnsi="宋体"/>
          <w:color w:val="000000" w:themeColor="text1"/>
          <w:sz w:val="24"/>
          <w:lang w:val="zh-CN"/>
          <w14:textFill>
            <w14:solidFill>
              <w14:schemeClr w14:val="tx1"/>
            </w14:solidFill>
          </w14:textFill>
        </w:rPr>
        <w:t>本工程自</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年</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月</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日开工，于</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年</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月</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日竣工。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0"/>
        <w:jc w:val="left"/>
        <w:textAlignment w:val="auto"/>
        <w:rPr>
          <w:rFonts w:hint="eastAsia" w:ascii="宋体" w:hAnsi="宋体"/>
          <w:color w:val="000000" w:themeColor="text1"/>
          <w:sz w:val="24"/>
          <w:u w:val="single"/>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１．６　工程质量：</w:t>
      </w:r>
      <w:r>
        <w:rPr>
          <w:rFonts w:hint="eastAsia" w:ascii="宋体" w:hAnsi="宋体"/>
          <w:color w:val="000000" w:themeColor="text1"/>
          <w:sz w:val="24"/>
          <w:u w:val="single"/>
          <w:lang w:val="zh-CN"/>
          <w14:textFill>
            <w14:solidFill>
              <w14:schemeClr w14:val="tx1"/>
            </w14:solidFill>
          </w14:textFill>
        </w:rPr>
        <w:t>工程量清单范围内的全部工程</w:t>
      </w:r>
      <w:r>
        <w:rPr>
          <w:rFonts w:hint="eastAsia" w:ascii="宋体" w:hAnsi="宋体"/>
          <w:color w:val="000000" w:themeColor="text1"/>
          <w:sz w:val="24"/>
          <w:u w:val="single"/>
          <w:lang w:val="en-US" w:eastAsia="zh-CN"/>
          <w14:textFill>
            <w14:solidFill>
              <w14:schemeClr w14:val="tx1"/>
            </w14:solidFill>
          </w14:textFill>
        </w:rPr>
        <w:t>验收合格</w:t>
      </w:r>
      <w:r>
        <w:rPr>
          <w:rFonts w:hint="eastAsia" w:ascii="宋体" w:hAnsi="宋体"/>
          <w:color w:val="000000" w:themeColor="text1"/>
          <w:sz w:val="24"/>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0"/>
        <w:jc w:val="left"/>
        <w:textAlignment w:val="auto"/>
        <w:rPr>
          <w:rFonts w:hint="default" w:eastAsia="宋体"/>
          <w:color w:val="000000" w:themeColor="text1"/>
          <w:u w:val="single"/>
          <w:lang w:val="en-US" w:eastAsia="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１．７</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工程</w:t>
      </w:r>
      <w:r>
        <w:rPr>
          <w:rFonts w:hint="eastAsia" w:ascii="宋体" w:hAnsi="宋体"/>
          <w:color w:val="000000" w:themeColor="text1"/>
          <w:sz w:val="24"/>
          <w:lang w:val="en-US" w:eastAsia="zh-CN"/>
          <w14:textFill>
            <w14:solidFill>
              <w14:schemeClr w14:val="tx1"/>
            </w14:solidFill>
          </w14:textFill>
        </w:rPr>
        <w:t>质保：</w:t>
      </w:r>
      <w:r>
        <w:rPr>
          <w:rFonts w:hint="eastAsia" w:ascii="宋体" w:hAnsi="宋体"/>
          <w:color w:val="000000" w:themeColor="text1"/>
          <w:sz w:val="24"/>
          <w:u w:val="single"/>
          <w:lang w:val="en-US" w:eastAsia="zh-CN"/>
          <w14:textFill>
            <w14:solidFill>
              <w14:schemeClr w14:val="tx1"/>
            </w14:solidFill>
          </w14:textFill>
        </w:rPr>
        <w:t>2年</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１．</w:t>
      </w: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lang w:val="zh-CN"/>
          <w14:textFill>
            <w14:solidFill>
              <w14:schemeClr w14:val="tx1"/>
            </w14:solidFill>
          </w14:textFill>
        </w:rPr>
        <w:t>　合同价款（人民币大写）：</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第二条　甲方工作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２．１　开工前</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天，向乙方提供经确认的施工图纸或作法说明</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２．２　指派</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为甲方驻工地代表，负责合同履行。对工程质量、进度进行监督检查，办理验收、变更、登记手续和其他事宜。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２．３　委托</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监理公司进行工程监理，监理公司任命　          为总监理工程师，其职责在监理合同中应明确，并将合同副本交乙方</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份。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２．４　负责保护好周围建筑物及装修、设备管线、古树名木、绿地等不受损坏，并承担相应费用。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２．５　如确实需要拆改原建筑物结构或设备管线，负责到有关部门办理相应审批手续。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２．６　协调有关部门做好现场保卫、消防、垃圾处理等工作，并承担相应费用。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第三条　乙方工作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３．１　参加甲方组织的施工图纸或作法说明的现场交底，拟定施工方案和进度计划，交甲方审定。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３．２　指派</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为乙方驻工地代表，负责合同履行。按要求组织施工，保质、保量、按期完成施工任务，解决由乙方负责的各项事宜。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３．３　严格执行施工规范、安全操作规程、防火安全规定、环境保护规定。严格按照图纸或作法说明进行施工，做好各项质量检查记录。参加竣工验收，编制工程结算。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３．４　遵守国家或地方政府及有关部门对施工现场管理的规定，妥善保护好施工现场周围建筑物、设备管线、古树名木不受损坏。做好施工现场保卫和垃圾消纳等工作，处理好由于施工带来的扰民问题及与周围单位（住户）的关系。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３．５　施工中未经甲方同意或有关部门批准，不得随意拆改原建筑物结构及各种设备管线。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３．６　工程竣工未移交甲方之前，负责对现场的一切设施和工程成品进行保护。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第四条　关于工期的约定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４．１　甲方要求比合同约定的工期提前竣工时，应征得乙方同意，并支付乙方因赶工采取的措施费用。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４．２　因甲方未按约定完成工作，影响工期，工期顺延。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４．３　因乙方责任，不能按期开工或中途无故停工，影响工期，工期不顺延。</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４．４　因设计变更或非乙方原因造成的停电、停水、停气及不可抗力因素影响，导致停工８小时以上（一周内累计计算），工期相应顺延。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第五条　关于工程质量及验收的约定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５．１　本工程以施工图纸、作法说明、设计变更和《建筑装饰工程施工及验收规范》（ＪＧＪ７３－－９１）、《建筑安装工程质量检验评定统一标准》（ＧＢＪ３００－－８８）等国家制订的施工及验收规范为质量评定验收标准。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５．２　本工程质量应达到国家质量评定合格标准。甲方要求部分或全部工程项目达到优良标准时，应向乙方支付由此增加的费用。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５．３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５．４　由于甲方提供的材料、设备质量不合格而影响工程质量，其返工费用由甲方承担，工期顺延。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５．５　由于乙方原因造成质量事故，其返工费用由乙方承担，工期不顺延。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５．６　工程竣工后，乙方应通知甲方验收，甲方自接到验收通知日内组织验收，并办理验收、移交手续。如甲方在规定时间内未能组织验收，需及时通知乙方，另定验收日期。但甲方应承认竣工日期，并承担乙方的看管费用和相关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第六条　关于工程价款及结算的约定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６．１　双方商定本合同价款采用第</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u w:val="single"/>
          <w:lang w:val="en-US" w:eastAsia="zh-CN"/>
          <w14:textFill>
            <w14:solidFill>
              <w14:schemeClr w14:val="tx1"/>
            </w14:solidFill>
          </w14:textFill>
        </w:rPr>
        <w:t>1）</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种：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（１）固定</w:t>
      </w:r>
      <w:r>
        <w:rPr>
          <w:rFonts w:hint="eastAsia" w:ascii="宋体" w:hAnsi="宋体"/>
          <w:color w:val="000000" w:themeColor="text1"/>
          <w:sz w:val="24"/>
          <w:lang w:val="en-US" w:eastAsia="zh-CN"/>
          <w14:textFill>
            <w14:solidFill>
              <w14:schemeClr w14:val="tx1"/>
            </w14:solidFill>
          </w14:textFill>
        </w:rPr>
        <w:t>综合单价</w:t>
      </w:r>
      <w:r>
        <w:rPr>
          <w:rFonts w:hint="eastAsia" w:ascii="宋体" w:hAnsi="宋体"/>
          <w:color w:val="000000" w:themeColor="text1"/>
          <w:sz w:val="24"/>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（２）固定价格加</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包干风险系数计算。包干风险包括内容。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（３）可调价格：按照国家有关工程计价规定计算造价，并按有关规定进行调整和竣工结算。 </w:t>
      </w:r>
    </w:p>
    <w:p>
      <w:pPr>
        <w:snapToGrid w:val="0"/>
        <w:spacing w:line="312" w:lineRule="auto"/>
        <w:ind w:firstLine="480" w:firstLineChars="200"/>
        <w:rPr>
          <w:rFonts w:hint="eastAsia" w:ascii="宋体" w:hAnsi="宋体"/>
          <w:color w:val="000000" w:themeColor="text1"/>
          <w:sz w:val="24"/>
          <w:lang w:val="zh-CN"/>
          <w14:textFill>
            <w14:solidFill>
              <w14:schemeClr w14:val="tx1"/>
            </w14:solidFill>
          </w14:textFill>
        </w:rPr>
      </w:pPr>
    </w:p>
    <w:p>
      <w:pPr>
        <w:snapToGrid w:val="0"/>
        <w:spacing w:line="312" w:lineRule="auto"/>
        <w:ind w:firstLine="480" w:firstLineChars="200"/>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６．２　本合同生效后，甲方分</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u w:val="single"/>
          <w:lang w:val="en-US" w:eastAsia="zh-CN"/>
          <w14:textFill>
            <w14:solidFill>
              <w14:schemeClr w14:val="tx1"/>
            </w14:solidFill>
          </w14:textFill>
        </w:rPr>
        <w:t>2</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次支付工程款；工程竣工验收后，乙方提出工程结算并将有关资料送交甲方。甲方自接到上述资料审查完毕，未提出异议，视为同意。经验收审计付70%，余款质保期满一次性付清。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第七条　关于材料供应的约定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７．１　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w:t>
      </w:r>
      <w:r>
        <w:rPr>
          <w:rFonts w:hint="eastAsia" w:ascii="宋体" w:hAnsi="宋体"/>
          <w:sz w:val="24"/>
          <w:u w:val="single"/>
          <w:lang w:val="zh-CN"/>
        </w:rPr>
        <w:t>　  　</w:t>
      </w:r>
      <w:r>
        <w:rPr>
          <w:rFonts w:hint="eastAsia" w:ascii="宋体" w:hAnsi="宋体"/>
          <w:sz w:val="24"/>
          <w:lang w:val="zh-CN"/>
        </w:rPr>
        <w:t xml:space="preserve">％的保管费。由于乙方保管不当造成损失，由乙方负责赔偿。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７．２　凡由乙方采购的材料、设备，如不符合质量要求或规格有差异，应禁止使用。应禁止使用，对工程造成的损失由乙方负责。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第八条　有关安全生产和防火的约定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８．１　甲方提供的施工图纸或作法说明，应符合《中华人民共和国消防条例》和有关防火设计规范。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８．２　乙方在施工期间应严格遵守《建筑安装工程安全技术规程》、《建筑安装工人安全操作规程》、《中华人民共和国消防条例》和其它相关的法规、规范。</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８．３　由于甲方确认的图纸或作法说明，违反有关安全操作规程、消防条例和防火设计规范，导致发生安全或火灾事故，甲方应承担由此产生的一切经济损失。</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８．４　由于乙方在施工生产过程中违反有关安全操作规程、消防条例，导致发生安全或火灾事故，乙方应承担由此引发的一切经济损失。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第九条　奖励和违约责任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９．１　由于甲方原因导致延期开工或中途停工，甲方应补偿乙方因停工、窝工所造成的损失。每停工或窝工一天，甲方支付乙方</w:t>
      </w:r>
      <w:r>
        <w:rPr>
          <w:rFonts w:hint="eastAsia" w:ascii="宋体" w:hAnsi="宋体"/>
          <w:sz w:val="24"/>
          <w:u w:val="single"/>
          <w:lang w:val="zh-CN"/>
        </w:rPr>
        <w:t xml:space="preserve">　  　   </w:t>
      </w:r>
      <w:r>
        <w:rPr>
          <w:rFonts w:hint="eastAsia" w:ascii="宋体" w:hAnsi="宋体"/>
          <w:sz w:val="24"/>
          <w:lang w:val="zh-CN"/>
        </w:rPr>
        <w:t xml:space="preserve"> 元。甲方不按合同的约定拨付款，每拖期一天，按付款额的</w:t>
      </w:r>
      <w:r>
        <w:rPr>
          <w:rFonts w:hint="eastAsia" w:ascii="宋体" w:hAnsi="宋体"/>
          <w:sz w:val="24"/>
          <w:u w:val="single"/>
          <w:lang w:val="zh-CN"/>
        </w:rPr>
        <w:t>　  　</w:t>
      </w:r>
      <w:r>
        <w:rPr>
          <w:rFonts w:hint="eastAsia" w:ascii="宋体" w:hAnsi="宋体"/>
          <w:sz w:val="24"/>
          <w:lang w:val="zh-CN"/>
        </w:rPr>
        <w:t xml:space="preserve">％支付滞纳金。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９．２　由于乙方原因，逾期竣工，每逾期一天，乙方支付甲方　</w:t>
      </w:r>
      <w:r>
        <w:rPr>
          <w:rFonts w:hint="eastAsia" w:ascii="宋体" w:hAnsi="宋体"/>
          <w:sz w:val="24"/>
          <w:u w:val="single"/>
          <w:lang w:val="zh-CN"/>
        </w:rPr>
        <w:t xml:space="preserve">  　   </w:t>
      </w:r>
      <w:r>
        <w:rPr>
          <w:rFonts w:hint="eastAsia" w:ascii="宋体" w:hAnsi="宋体"/>
          <w:sz w:val="24"/>
          <w:lang w:val="zh-CN"/>
        </w:rPr>
        <w:t xml:space="preserve">元违约金。甲方要求提前竣工，除支付赶工措施费外，每提前一天，甲方支付乙方　  　   元，作为奖励。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９．３　乙方按照甲方要求，全部或部分工程项目达到优良标准时，除按本合同５．２款增加优质价款外，甲方支付乙方</w:t>
      </w:r>
      <w:r>
        <w:rPr>
          <w:rFonts w:hint="eastAsia" w:ascii="宋体" w:hAnsi="宋体"/>
          <w:sz w:val="24"/>
          <w:u w:val="single"/>
          <w:lang w:val="zh-CN"/>
        </w:rPr>
        <w:t xml:space="preserve">　  　    </w:t>
      </w:r>
      <w:r>
        <w:rPr>
          <w:rFonts w:hint="eastAsia" w:ascii="宋体" w:hAnsi="宋体"/>
          <w:sz w:val="24"/>
          <w:lang w:val="zh-CN"/>
        </w:rPr>
        <w:t xml:space="preserve">元，作为奖励。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９．４　乙方应妥善保护甲方提供的设备及现场堆放的家具、陈设和工程成品，如造成损失，应照价赔偿。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９．５　甲方未办理任何手续，擅自同意拆改原有建筑物结构或设备管线，由此发生的损失或事故（包括罚款），由甲方负责并承担损失。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９．６　未经甲方同意，乙方擅自拆改原建筑物结构或设备管线，由此发生的损失或事故（包括罚款），由乙方负责并承担损失。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９．７　未办理验收手续，甲方提前使用或擅自动用，造成损失由甲方负责。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９．８　因一方原因，合同无法继续履行时，应通知对方，办理合同终止协议，并由责任方赔偿对方由此造成的经济损失。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第十条　争议或纠纷处理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１０．１　本合同在履行期间，双方发生争议时，在不影响工程进度的前提下，双方可采取协商解决或请有关部门进行调解。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１０．２　当事人不愿通过协商、调解解决或者协商、调解不成时，本合同在执行中发生的争议双方同意由</w:t>
      </w:r>
      <w:r>
        <w:rPr>
          <w:rFonts w:hint="eastAsia" w:ascii="宋体" w:hAnsi="宋体"/>
          <w:sz w:val="24"/>
          <w:u w:val="single"/>
          <w:lang w:val="zh-CN"/>
        </w:rPr>
        <w:t>　　　</w:t>
      </w:r>
      <w:r>
        <w:rPr>
          <w:rFonts w:hint="eastAsia" w:ascii="宋体" w:hAnsi="宋体"/>
          <w:sz w:val="24"/>
          <w:lang w:val="zh-CN"/>
        </w:rPr>
        <w:t xml:space="preserve">仲裁委员会仲裁（当事人不在本合同约定仲裁机构，事后又没有达成书面仲裁协议的，可向人民法院起诉）。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第十一条　其它约定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第十二条　附则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１２．１　本工程需要进行保修或保险时，应另订协议。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１２．２　本合同正式两份，双方各执一份。副本</w:t>
      </w:r>
      <w:r>
        <w:rPr>
          <w:rFonts w:hint="eastAsia" w:ascii="宋体" w:hAnsi="宋体"/>
          <w:sz w:val="24"/>
          <w:u w:val="single"/>
          <w:lang w:val="zh-CN"/>
        </w:rPr>
        <w:t>　  　</w:t>
      </w:r>
      <w:r>
        <w:rPr>
          <w:rFonts w:hint="eastAsia" w:ascii="宋体" w:hAnsi="宋体"/>
          <w:sz w:val="24"/>
          <w:lang w:val="zh-CN"/>
        </w:rPr>
        <w:t>份，甲方执</w:t>
      </w:r>
      <w:r>
        <w:rPr>
          <w:rFonts w:hint="eastAsia" w:ascii="宋体" w:hAnsi="宋体"/>
          <w:sz w:val="24"/>
          <w:u w:val="single"/>
          <w:lang w:val="zh-CN"/>
        </w:rPr>
        <w:t>　  　</w:t>
      </w:r>
      <w:r>
        <w:rPr>
          <w:rFonts w:hint="eastAsia" w:ascii="宋体" w:hAnsi="宋体"/>
          <w:sz w:val="24"/>
          <w:lang w:val="zh-CN"/>
        </w:rPr>
        <w:t>份，乙方执</w:t>
      </w:r>
      <w:r>
        <w:rPr>
          <w:rFonts w:hint="eastAsia" w:ascii="宋体" w:hAnsi="宋体"/>
          <w:sz w:val="24"/>
          <w:u w:val="single"/>
          <w:lang w:val="zh-CN"/>
        </w:rPr>
        <w:t>　  　</w:t>
      </w:r>
      <w:r>
        <w:rPr>
          <w:rFonts w:hint="eastAsia" w:ascii="宋体" w:hAnsi="宋体"/>
          <w:sz w:val="24"/>
          <w:lang w:val="zh-CN"/>
        </w:rPr>
        <w:t xml:space="preserve">份。 </w:t>
      </w:r>
    </w:p>
    <w:p>
      <w:pPr>
        <w:snapToGrid w:val="0"/>
        <w:spacing w:line="312" w:lineRule="auto"/>
        <w:ind w:firstLine="480" w:firstLineChars="200"/>
        <w:rPr>
          <w:rFonts w:hint="eastAsia" w:ascii="宋体" w:hAnsi="宋体"/>
          <w:sz w:val="24"/>
          <w:lang w:val="zh-CN"/>
        </w:rPr>
      </w:pPr>
    </w:p>
    <w:p>
      <w:pPr>
        <w:snapToGrid w:val="0"/>
        <w:spacing w:line="312" w:lineRule="auto"/>
        <w:rPr>
          <w:rFonts w:hint="eastAsia" w:ascii="宋体" w:hAnsi="宋体"/>
          <w:sz w:val="24"/>
          <w:lang w:val="zh-CN"/>
        </w:rPr>
      </w:pPr>
      <w:r>
        <w:rPr>
          <w:rFonts w:hint="eastAsia" w:ascii="宋体" w:hAnsi="宋体"/>
          <w:sz w:val="24"/>
          <w:lang w:val="zh-CN"/>
        </w:rPr>
        <w:t xml:space="preserve">１２．３　本合同履行完成后自动终止。 </w:t>
      </w:r>
    </w:p>
    <w:p>
      <w:pPr>
        <w:snapToGrid w:val="0"/>
        <w:spacing w:line="312" w:lineRule="auto"/>
        <w:rPr>
          <w:rFonts w:hint="eastAsia" w:ascii="宋体" w:hAnsi="宋体"/>
          <w:sz w:val="24"/>
          <w:lang w:val="zh-CN"/>
        </w:rPr>
      </w:pPr>
      <w:r>
        <w:rPr>
          <w:rFonts w:hint="eastAsia" w:ascii="宋体" w:hAnsi="宋体"/>
          <w:sz w:val="24"/>
          <w:lang w:val="zh-CN"/>
        </w:rPr>
        <w:t xml:space="preserve">１２．４　附件 </w:t>
      </w:r>
    </w:p>
    <w:p>
      <w:pPr>
        <w:snapToGrid w:val="0"/>
        <w:spacing w:line="312" w:lineRule="auto"/>
        <w:rPr>
          <w:rFonts w:hint="eastAsia" w:ascii="宋体" w:hAnsi="宋体"/>
          <w:sz w:val="24"/>
          <w:lang w:val="zh-CN"/>
        </w:rPr>
      </w:pPr>
      <w:r>
        <w:rPr>
          <w:rFonts w:hint="eastAsia" w:ascii="宋体" w:hAnsi="宋体"/>
          <w:sz w:val="24"/>
          <w:lang w:val="zh-CN"/>
        </w:rPr>
        <w:t xml:space="preserve">（１）施工图纸或作法说明 </w:t>
      </w:r>
    </w:p>
    <w:p>
      <w:pPr>
        <w:snapToGrid w:val="0"/>
        <w:spacing w:line="312" w:lineRule="auto"/>
        <w:rPr>
          <w:rFonts w:hint="eastAsia" w:ascii="宋体" w:hAnsi="宋体"/>
          <w:sz w:val="24"/>
          <w:lang w:val="zh-CN"/>
        </w:rPr>
      </w:pPr>
      <w:r>
        <w:rPr>
          <w:rFonts w:hint="eastAsia" w:ascii="宋体" w:hAnsi="宋体"/>
          <w:sz w:val="24"/>
          <w:lang w:val="zh-CN"/>
        </w:rPr>
        <w:t xml:space="preserve">（２）工程项目一览表 </w:t>
      </w:r>
    </w:p>
    <w:p>
      <w:pPr>
        <w:snapToGrid w:val="0"/>
        <w:spacing w:line="312" w:lineRule="auto"/>
        <w:rPr>
          <w:rFonts w:hint="eastAsia" w:ascii="宋体" w:hAnsi="宋体"/>
          <w:sz w:val="24"/>
          <w:lang w:val="zh-CN"/>
        </w:rPr>
      </w:pPr>
      <w:r>
        <w:rPr>
          <w:rFonts w:hint="eastAsia" w:ascii="宋体" w:hAnsi="宋体"/>
          <w:sz w:val="24"/>
          <w:lang w:val="zh-CN"/>
        </w:rPr>
        <w:t xml:space="preserve">（３）工程预算书 </w:t>
      </w:r>
    </w:p>
    <w:p>
      <w:pPr>
        <w:snapToGrid w:val="0"/>
        <w:spacing w:line="312" w:lineRule="auto"/>
        <w:rPr>
          <w:rFonts w:hint="eastAsia" w:ascii="宋体" w:hAnsi="宋体"/>
          <w:sz w:val="24"/>
          <w:lang w:val="zh-CN"/>
        </w:rPr>
      </w:pPr>
      <w:r>
        <w:rPr>
          <w:rFonts w:hint="eastAsia" w:ascii="宋体" w:hAnsi="宋体"/>
          <w:sz w:val="24"/>
          <w:lang w:val="zh-CN"/>
        </w:rPr>
        <w:t xml:space="preserve">（４）甲方提供货物清单 </w:t>
      </w:r>
    </w:p>
    <w:p>
      <w:pPr>
        <w:snapToGrid w:val="0"/>
        <w:spacing w:line="312" w:lineRule="auto"/>
        <w:rPr>
          <w:rFonts w:hint="eastAsia" w:ascii="宋体" w:hAnsi="宋体"/>
          <w:sz w:val="24"/>
          <w:lang w:val="zh-CN"/>
        </w:rPr>
      </w:pPr>
      <w:r>
        <w:rPr>
          <w:rFonts w:hint="eastAsia" w:ascii="宋体" w:hAnsi="宋体"/>
          <w:sz w:val="24"/>
          <w:lang w:val="zh-CN"/>
        </w:rPr>
        <w:t xml:space="preserve">（５）会议纪要 </w:t>
      </w:r>
    </w:p>
    <w:p>
      <w:pPr>
        <w:snapToGrid w:val="0"/>
        <w:spacing w:line="312" w:lineRule="auto"/>
        <w:rPr>
          <w:rFonts w:hint="eastAsia" w:ascii="宋体" w:hAnsi="宋体"/>
          <w:sz w:val="24"/>
          <w:lang w:val="zh-CN"/>
        </w:rPr>
      </w:pPr>
      <w:r>
        <w:rPr>
          <w:rFonts w:hint="eastAsia" w:ascii="宋体" w:hAnsi="宋体"/>
          <w:sz w:val="24"/>
          <w:lang w:val="zh-CN"/>
        </w:rPr>
        <w:t xml:space="preserve">（６）设计变更 </w:t>
      </w:r>
    </w:p>
    <w:p>
      <w:pPr>
        <w:snapToGrid w:val="0"/>
        <w:spacing w:line="312" w:lineRule="auto"/>
        <w:rPr>
          <w:rFonts w:hint="eastAsia" w:ascii="宋体" w:hAnsi="宋体"/>
          <w:sz w:val="24"/>
          <w:lang w:val="zh-CN"/>
        </w:rPr>
      </w:pPr>
      <w:r>
        <w:rPr>
          <w:rFonts w:hint="eastAsia" w:ascii="宋体" w:hAnsi="宋体"/>
          <w:sz w:val="24"/>
          <w:lang w:val="zh-CN"/>
        </w:rPr>
        <w:t xml:space="preserve">（７）其他 </w:t>
      </w:r>
    </w:p>
    <w:p>
      <w:pPr>
        <w:pStyle w:val="2"/>
        <w:rPr>
          <w:rFonts w:hint="eastAsia"/>
          <w:lang w:val="zh-CN"/>
        </w:rPr>
      </w:pPr>
    </w:p>
    <w:p>
      <w:pPr>
        <w:snapToGrid w:val="0"/>
        <w:spacing w:line="312" w:lineRule="auto"/>
        <w:ind w:firstLine="480" w:firstLineChars="200"/>
        <w:rPr>
          <w:rFonts w:hint="eastAsia" w:ascii="宋体" w:hAnsi="宋体"/>
          <w:sz w:val="24"/>
          <w:u w:val="single"/>
          <w:lang w:val="zh-CN"/>
        </w:rPr>
      </w:pPr>
      <w:r>
        <w:rPr>
          <w:rFonts w:hint="eastAsia" w:ascii="宋体" w:hAnsi="宋体"/>
          <w:sz w:val="24"/>
          <w:lang w:val="zh-CN"/>
        </w:rPr>
        <w:t>甲方（盖章）：</w:t>
      </w:r>
      <w:r>
        <w:rPr>
          <w:rFonts w:hint="eastAsia" w:ascii="宋体" w:hAnsi="宋体"/>
          <w:sz w:val="24"/>
          <w:u w:val="single"/>
          <w:lang w:val="zh-CN"/>
        </w:rPr>
        <w:t>　　　　　　　　　　　</w:t>
      </w:r>
      <w:r>
        <w:rPr>
          <w:rFonts w:hint="eastAsia" w:ascii="宋体" w:hAnsi="宋体"/>
          <w:sz w:val="24"/>
          <w:lang w:val="zh-CN"/>
        </w:rPr>
        <w:t>　乙方（盖章）：</w:t>
      </w:r>
      <w:r>
        <w:rPr>
          <w:rFonts w:hint="eastAsia" w:ascii="宋体" w:hAnsi="宋体"/>
          <w:sz w:val="24"/>
          <w:u w:val="single"/>
          <w:lang w:val="zh-CN"/>
        </w:rPr>
        <w:t xml:space="preserve"> 　　　　　　　　</w:t>
      </w:r>
    </w:p>
    <w:p>
      <w:pPr>
        <w:snapToGrid w:val="0"/>
        <w:spacing w:line="312" w:lineRule="auto"/>
        <w:ind w:firstLine="480" w:firstLineChars="200"/>
        <w:jc w:val="both"/>
        <w:rPr>
          <w:rFonts w:hint="eastAsia" w:ascii="宋体" w:hAnsi="宋体"/>
          <w:sz w:val="24"/>
          <w:u w:val="single"/>
          <w:lang w:val="zh-CN"/>
        </w:rPr>
      </w:pPr>
      <w:r>
        <w:rPr>
          <w:rFonts w:hint="eastAsia" w:ascii="宋体" w:hAnsi="宋体"/>
          <w:sz w:val="24"/>
          <w:lang w:val="zh-CN"/>
        </w:rPr>
        <w:t>法定代表人：</w:t>
      </w:r>
      <w:r>
        <w:rPr>
          <w:rFonts w:hint="eastAsia" w:ascii="宋体" w:hAnsi="宋体"/>
          <w:sz w:val="24"/>
          <w:u w:val="single"/>
          <w:lang w:val="zh-CN"/>
        </w:rPr>
        <w:t>　　　　　　　　  　　　</w:t>
      </w:r>
      <w:r>
        <w:rPr>
          <w:rFonts w:hint="eastAsia" w:ascii="宋体" w:hAnsi="宋体"/>
          <w:sz w:val="24"/>
          <w:lang w:val="zh-CN"/>
        </w:rPr>
        <w:t>　法定代表人：</w:t>
      </w:r>
      <w:r>
        <w:rPr>
          <w:rFonts w:hint="eastAsia" w:ascii="宋体" w:hAnsi="宋体"/>
          <w:sz w:val="24"/>
          <w:u w:val="single"/>
          <w:lang w:val="zh-CN"/>
        </w:rPr>
        <w:t xml:space="preserve"> 　　　　　　　　  </w:t>
      </w:r>
    </w:p>
    <w:p>
      <w:pPr>
        <w:snapToGrid w:val="0"/>
        <w:spacing w:line="312" w:lineRule="auto"/>
        <w:ind w:firstLine="480" w:firstLineChars="200"/>
        <w:jc w:val="both"/>
        <w:rPr>
          <w:rFonts w:hint="eastAsia" w:ascii="宋体" w:hAnsi="宋体"/>
          <w:sz w:val="24"/>
          <w:u w:val="single"/>
          <w:lang w:val="zh-CN"/>
        </w:rPr>
      </w:pPr>
      <w:r>
        <w:rPr>
          <w:rFonts w:hint="eastAsia" w:ascii="宋体" w:hAnsi="宋体"/>
          <w:sz w:val="24"/>
          <w:lang w:val="zh-CN"/>
        </w:rPr>
        <w:t>代理人：</w:t>
      </w:r>
      <w:r>
        <w:rPr>
          <w:rFonts w:hint="eastAsia" w:ascii="宋体" w:hAnsi="宋体"/>
          <w:sz w:val="24"/>
          <w:u w:val="single"/>
          <w:lang w:val="zh-CN"/>
        </w:rPr>
        <w:t>　　　　　　　　      　　　</w:t>
      </w:r>
      <w:r>
        <w:rPr>
          <w:rFonts w:hint="eastAsia" w:ascii="宋体" w:hAnsi="宋体"/>
          <w:sz w:val="24"/>
          <w:lang w:val="zh-CN"/>
        </w:rPr>
        <w:t>　代表人：</w:t>
      </w:r>
      <w:r>
        <w:rPr>
          <w:rFonts w:hint="eastAsia" w:ascii="宋体" w:hAnsi="宋体"/>
          <w:sz w:val="24"/>
          <w:u w:val="single"/>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单位地址：</w:t>
      </w:r>
      <w:r>
        <w:rPr>
          <w:rFonts w:hint="eastAsia" w:ascii="宋体" w:hAnsi="宋体"/>
          <w:sz w:val="24"/>
          <w:u w:val="single"/>
          <w:lang w:val="zh-CN"/>
        </w:rPr>
        <w:t>　　　　　　　　      　　</w:t>
      </w:r>
      <w:r>
        <w:rPr>
          <w:rFonts w:hint="eastAsia" w:ascii="宋体" w:hAnsi="宋体"/>
          <w:sz w:val="24"/>
          <w:lang w:val="zh-CN"/>
        </w:rPr>
        <w:t>　单位地址：</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电话：</w:t>
      </w:r>
      <w:r>
        <w:rPr>
          <w:rFonts w:hint="eastAsia" w:ascii="宋体" w:hAnsi="宋体"/>
          <w:sz w:val="24"/>
          <w:u w:val="single"/>
          <w:lang w:val="zh-CN"/>
        </w:rPr>
        <w:t>　　　　　　　　      　　　　</w:t>
      </w:r>
      <w:r>
        <w:rPr>
          <w:rFonts w:hint="eastAsia" w:ascii="宋体" w:hAnsi="宋体"/>
          <w:sz w:val="24"/>
          <w:lang w:val="zh-CN"/>
        </w:rPr>
        <w:t>　电话：</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传真：</w:t>
      </w:r>
      <w:r>
        <w:rPr>
          <w:rFonts w:hint="eastAsia" w:ascii="宋体" w:hAnsi="宋体"/>
          <w:sz w:val="24"/>
          <w:u w:val="single"/>
          <w:lang w:val="zh-CN"/>
        </w:rPr>
        <w:t>　　　　　　　　      　　　　</w:t>
      </w:r>
      <w:r>
        <w:rPr>
          <w:rFonts w:hint="eastAsia" w:ascii="宋体" w:hAnsi="宋体"/>
          <w:sz w:val="24"/>
          <w:lang w:val="zh-CN"/>
        </w:rPr>
        <w:t>　传真：</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邮码：</w:t>
      </w:r>
      <w:r>
        <w:rPr>
          <w:rFonts w:hint="eastAsia" w:ascii="宋体" w:hAnsi="宋体"/>
          <w:sz w:val="24"/>
          <w:u w:val="single"/>
          <w:lang w:val="zh-CN"/>
        </w:rPr>
        <w:t>　　　　　　　　      　　　　</w:t>
      </w:r>
      <w:r>
        <w:rPr>
          <w:rFonts w:hint="eastAsia" w:ascii="宋体" w:hAnsi="宋体"/>
          <w:sz w:val="24"/>
          <w:lang w:val="zh-CN"/>
        </w:rPr>
        <w:t>　邮码：</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开户银行：</w:t>
      </w:r>
      <w:r>
        <w:rPr>
          <w:rFonts w:hint="eastAsia" w:ascii="宋体" w:hAnsi="宋体"/>
          <w:sz w:val="24"/>
          <w:u w:val="single"/>
          <w:lang w:val="zh-CN"/>
        </w:rPr>
        <w:t>　　　　　　　　      　　</w:t>
      </w:r>
      <w:r>
        <w:rPr>
          <w:rFonts w:hint="eastAsia" w:ascii="宋体" w:hAnsi="宋体"/>
          <w:sz w:val="24"/>
          <w:lang w:val="zh-CN"/>
        </w:rPr>
        <w:t>　开户银行：</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户名：</w:t>
      </w:r>
      <w:r>
        <w:rPr>
          <w:rFonts w:hint="eastAsia" w:ascii="宋体" w:hAnsi="宋体"/>
          <w:sz w:val="24"/>
          <w:u w:val="single"/>
          <w:lang w:val="zh-CN"/>
        </w:rPr>
        <w:t>　　　　　　　　      　　　　</w:t>
      </w:r>
      <w:r>
        <w:rPr>
          <w:rFonts w:hint="eastAsia" w:ascii="宋体" w:hAnsi="宋体"/>
          <w:sz w:val="24"/>
          <w:lang w:val="zh-CN"/>
        </w:rPr>
        <w:t>　户名：</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u w:val="single"/>
          <w:lang w:val="zh-CN"/>
        </w:rPr>
      </w:pPr>
      <w:r>
        <w:rPr>
          <w:rFonts w:hint="eastAsia" w:ascii="宋体" w:hAnsi="宋体"/>
          <w:sz w:val="24"/>
          <w:lang w:val="zh-CN"/>
        </w:rPr>
        <w:t>帐号：</w:t>
      </w:r>
      <w:r>
        <w:rPr>
          <w:rFonts w:hint="eastAsia" w:ascii="宋体" w:hAnsi="宋体"/>
          <w:sz w:val="24"/>
          <w:u w:val="single"/>
          <w:lang w:val="zh-CN"/>
        </w:rPr>
        <w:t>　　　　　　　　      　　　　</w:t>
      </w:r>
      <w:r>
        <w:rPr>
          <w:rFonts w:hint="eastAsia" w:ascii="宋体" w:hAnsi="宋体"/>
          <w:sz w:val="24"/>
          <w:lang w:val="zh-CN"/>
        </w:rPr>
        <w:t>　帐号：</w:t>
      </w:r>
      <w:r>
        <w:rPr>
          <w:rFonts w:hint="eastAsia" w:ascii="宋体" w:hAnsi="宋体"/>
          <w:sz w:val="24"/>
          <w:u w:val="single"/>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年　　月　　日　　　　　　　</w:t>
      </w:r>
      <w:r>
        <w:rPr>
          <w:rFonts w:hint="eastAsia" w:ascii="宋体" w:hAnsi="宋体"/>
          <w:sz w:val="24"/>
          <w:lang w:val="en-US" w:eastAsia="zh-CN"/>
        </w:rPr>
        <w:t xml:space="preserve">          </w:t>
      </w:r>
      <w:r>
        <w:rPr>
          <w:rFonts w:hint="eastAsia" w:ascii="宋体" w:hAnsi="宋体"/>
          <w:sz w:val="24"/>
          <w:lang w:val="zh-CN"/>
        </w:rPr>
        <w:t>年　　月　　日</w:t>
      </w:r>
    </w:p>
    <w:bookmarkEnd w:id="118"/>
    <w:p>
      <w:pPr>
        <w:snapToGrid w:val="0"/>
        <w:spacing w:line="312" w:lineRule="auto"/>
        <w:ind w:firstLine="480" w:firstLineChars="200"/>
        <w:jc w:val="both"/>
        <w:rPr>
          <w:rFonts w:hint="eastAsia" w:ascii="宋体" w:hAnsi="宋体"/>
          <w:sz w:val="24"/>
          <w:lang w:val="zh-CN"/>
        </w:rPr>
      </w:pPr>
    </w:p>
    <w:sectPr>
      <w:headerReference r:id="rId12" w:type="first"/>
      <w:headerReference r:id="rId11" w:type="default"/>
      <w:foot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38885" cy="317500"/>
              <wp:effectExtent l="0" t="0" r="12065" b="0"/>
              <wp:wrapNone/>
              <wp:docPr id="8" name="文本框 8"/>
              <wp:cNvGraphicFramePr/>
              <a:graphic xmlns:a="http://schemas.openxmlformats.org/drawingml/2006/main">
                <a:graphicData uri="http://schemas.microsoft.com/office/word/2010/wordprocessingShape">
                  <wps:wsp>
                    <wps:cNvSpPr txBox="1"/>
                    <wps:spPr>
                      <a:xfrm>
                        <a:off x="0" y="0"/>
                        <a:ext cx="1238885" cy="317500"/>
                      </a:xfrm>
                      <a:prstGeom prst="rect">
                        <a:avLst/>
                      </a:prstGeom>
                      <a:noFill/>
                      <a:ln w="6350">
                        <a:noFill/>
                      </a:ln>
                    </wps:spPr>
                    <wps:txbx>
                      <w:txbxContent>
                        <w:p>
                          <w:pPr>
                            <w:pStyle w:val="19"/>
                            <w:rPr>
                              <w:sz w:val="18"/>
                              <w:szCs w:val="15"/>
                            </w:rPr>
                          </w:pPr>
                          <w:r>
                            <w:rPr>
                              <w:sz w:val="18"/>
                              <w:szCs w:val="15"/>
                            </w:rPr>
                            <w:t xml:space="preserve">第 </w:t>
                          </w:r>
                          <w:r>
                            <w:rPr>
                              <w:sz w:val="18"/>
                              <w:szCs w:val="15"/>
                            </w:rPr>
                            <w:fldChar w:fldCharType="begin"/>
                          </w:r>
                          <w:r>
                            <w:rPr>
                              <w:sz w:val="18"/>
                              <w:szCs w:val="15"/>
                            </w:rPr>
                            <w:instrText xml:space="preserve"> PAGE  \* MERGEFORMAT </w:instrText>
                          </w:r>
                          <w:r>
                            <w:rPr>
                              <w:sz w:val="18"/>
                              <w:szCs w:val="15"/>
                            </w:rPr>
                            <w:fldChar w:fldCharType="separate"/>
                          </w:r>
                          <w:r>
                            <w:rPr>
                              <w:sz w:val="18"/>
                              <w:szCs w:val="15"/>
                            </w:rPr>
                            <w:t>13</w:t>
                          </w:r>
                          <w:r>
                            <w:rPr>
                              <w:sz w:val="18"/>
                              <w:szCs w:val="15"/>
                            </w:rPr>
                            <w:fldChar w:fldCharType="end"/>
                          </w:r>
                          <w:r>
                            <w:rPr>
                              <w:sz w:val="18"/>
                              <w:szCs w:val="15"/>
                            </w:rPr>
                            <w:t xml:space="preserve"> 页 共 </w:t>
                          </w:r>
                          <w:r>
                            <w:rPr>
                              <w:sz w:val="18"/>
                              <w:szCs w:val="15"/>
                            </w:rPr>
                            <w:fldChar w:fldCharType="begin"/>
                          </w:r>
                          <w:r>
                            <w:rPr>
                              <w:sz w:val="18"/>
                              <w:szCs w:val="15"/>
                            </w:rPr>
                            <w:instrText xml:space="preserve"> NUMPAGES  \* MERGEFORMAT </w:instrText>
                          </w:r>
                          <w:r>
                            <w:rPr>
                              <w:sz w:val="18"/>
                              <w:szCs w:val="15"/>
                            </w:rPr>
                            <w:fldChar w:fldCharType="separate"/>
                          </w:r>
                          <w:r>
                            <w:rPr>
                              <w:sz w:val="18"/>
                              <w:szCs w:val="15"/>
                            </w:rPr>
                            <w:t>51</w:t>
                          </w:r>
                          <w:r>
                            <w:rPr>
                              <w:sz w:val="18"/>
                              <w:szCs w:val="15"/>
                            </w:rPr>
                            <w:fldChar w:fldCharType="end"/>
                          </w:r>
                          <w:r>
                            <w:rPr>
                              <w:sz w:val="18"/>
                              <w:szCs w:val="15"/>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5pt;width:97.55pt;mso-position-horizontal:center;mso-position-horizontal-relative:margin;mso-wrap-style:none;z-index:251662336;mso-width-relative:page;mso-height-relative:page;" filled="f" stroked="f" coordsize="21600,21600" o:gfxdata="UEsDBAoAAAAAAIdO4kAAAAAAAAAAAAAAAAAEAAAAZHJzL1BLAwQUAAAACACHTuJARiHnANMAAAAE&#10;AQAADwAAAGRycy9kb3ducmV2LnhtbE2PwU7DMBBE70j8g7WVuFE7QCsa4lSiIhyRaHrg6MbbJNRe&#10;R7abhr/H5UIvK41mNPO2WE/WsBF96B1JyOYCGFLjdE+thF1d3T8DC1GRVsYRSvjBAOvy9qZQuXZn&#10;+sRxG1uWSijkSkIX45BzHpoOrQpzNyAl7+C8VTFJ33Lt1TmVW8MfhFhyq3pKC50acNNhc9yerIRN&#10;Vdd+xODNF75Xj98fr0/4Nkl5N8vEC7CIU/wPwwU/oUOZmPbuRDowIyE9Ev/uxVstMmB7CQshgJcF&#10;v4YvfwFQSwMEFAAAAAgAh07iQJB/nA4wAgAAVAQAAA4AAABkcnMvZTJvRG9jLnhtbK1Uy24TMRTd&#10;I/EPlvd08lBLFGVShUZBSBGtFBBrx+PJjOSXbCcz4QPgD1ixYd/vyndw7MmkqLDogo1zxvflc+69&#10;md22SpKDcL42OqfDqwElQnNT1HqX08+fVm8mlPjAdMGk0SKnR+Hp7fz1q1ljp2JkKiML4QiSaD9t&#10;bE6rEOw0yzyvhGL+ylihYSyNUyzg0+2ywrEG2ZXMRoPBTdYYV1hnuPAet8vOSM8Z3UsSmrKsuVga&#10;vldChy6rE5IFUPJVbT2dp9eWpeDhviy9CETmFExDOlEEeBvPbD5j051jtqr5+QnsJU94xkmxWqPo&#10;JdWSBUb2rv4rlaq5M96U4YoblXVEkiJgMRw802ZTMSsSF0jt7UV0///S8o+HB0fqIqdou2YKDT/9&#10;+H76+Xj69Y1MojyN9VN4bSz8QvvOtBia/t7jMrJuS6fiL/gQ2CHu8SKuaAPhMWg0nkwm15Rw2MbD&#10;t9eDpH72FG2dD++FUSSCnDo0L2nKDmsf8BK49i6xmDarWsrUQKlJk9Ob8fUgBVwsiJAagZFD99aI&#10;Qrttz8S2pjiClzPdYHjLVzWKr5kPD8xhEkAFuxLucZTSoIg5I0oq477+6z76o0GwUtJgsnKqsUiU&#10;yA8ajYtD2APXg20P9F7dGYzqEDtoeYIIcEH2sHRGfcECLWINmJjmqJTT0MO70E03FpCLxSI5YdQs&#10;C2u9sTymjuJ5u9gHCJh0jaJ0Spy1wrAluc+LEaf5z+/k9fRnM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iHnANMAAAAEAQAADwAAAAAAAAABACAAAAAiAAAAZHJzL2Rvd25yZXYueG1sUEsBAhQA&#10;FAAAAAgAh07iQJB/nA4wAgAAVAQAAA4AAAAAAAAAAQAgAAAAIgEAAGRycy9lMm9Eb2MueG1sUEsF&#10;BgAAAAAGAAYAWQEAAMQFAAAAAA==&#10;">
              <v:fill on="f" focussize="0,0"/>
              <v:stroke on="f" weight="0.5pt"/>
              <v:imagedata o:title=""/>
              <o:lock v:ext="edit" aspectratio="f"/>
              <v:textbox inset="0mm,0mm,0mm,0mm" style="mso-fit-shape-to-text:t;">
                <w:txbxContent>
                  <w:p>
                    <w:pPr>
                      <w:pStyle w:val="19"/>
                      <w:rPr>
                        <w:sz w:val="18"/>
                        <w:szCs w:val="15"/>
                      </w:rPr>
                    </w:pPr>
                    <w:r>
                      <w:rPr>
                        <w:sz w:val="18"/>
                        <w:szCs w:val="15"/>
                      </w:rPr>
                      <w:t xml:space="preserve">第 </w:t>
                    </w:r>
                    <w:r>
                      <w:rPr>
                        <w:sz w:val="18"/>
                        <w:szCs w:val="15"/>
                      </w:rPr>
                      <w:fldChar w:fldCharType="begin"/>
                    </w:r>
                    <w:r>
                      <w:rPr>
                        <w:sz w:val="18"/>
                        <w:szCs w:val="15"/>
                      </w:rPr>
                      <w:instrText xml:space="preserve"> PAGE  \* MERGEFORMAT </w:instrText>
                    </w:r>
                    <w:r>
                      <w:rPr>
                        <w:sz w:val="18"/>
                        <w:szCs w:val="15"/>
                      </w:rPr>
                      <w:fldChar w:fldCharType="separate"/>
                    </w:r>
                    <w:r>
                      <w:rPr>
                        <w:sz w:val="18"/>
                        <w:szCs w:val="15"/>
                      </w:rPr>
                      <w:t>13</w:t>
                    </w:r>
                    <w:r>
                      <w:rPr>
                        <w:sz w:val="18"/>
                        <w:szCs w:val="15"/>
                      </w:rPr>
                      <w:fldChar w:fldCharType="end"/>
                    </w:r>
                    <w:r>
                      <w:rPr>
                        <w:sz w:val="18"/>
                        <w:szCs w:val="15"/>
                      </w:rPr>
                      <w:t xml:space="preserve"> 页 共 </w:t>
                    </w:r>
                    <w:r>
                      <w:rPr>
                        <w:sz w:val="18"/>
                        <w:szCs w:val="15"/>
                      </w:rPr>
                      <w:fldChar w:fldCharType="begin"/>
                    </w:r>
                    <w:r>
                      <w:rPr>
                        <w:sz w:val="18"/>
                        <w:szCs w:val="15"/>
                      </w:rPr>
                      <w:instrText xml:space="preserve"> NUMPAGES  \* MERGEFORMAT </w:instrText>
                    </w:r>
                    <w:r>
                      <w:rPr>
                        <w:sz w:val="18"/>
                        <w:szCs w:val="15"/>
                      </w:rPr>
                      <w:fldChar w:fldCharType="separate"/>
                    </w:r>
                    <w:r>
                      <w:rPr>
                        <w:sz w:val="18"/>
                        <w:szCs w:val="15"/>
                      </w:rPr>
                      <w:t>51</w:t>
                    </w:r>
                    <w:r>
                      <w:rPr>
                        <w:sz w:val="18"/>
                        <w:szCs w:val="15"/>
                      </w:rPr>
                      <w:fldChar w:fldCharType="end"/>
                    </w:r>
                    <w:r>
                      <w:rPr>
                        <w:sz w:val="18"/>
                        <w:szCs w:val="15"/>
                      </w:rPr>
                      <w:t xml:space="preserve"> 页</w:t>
                    </w:r>
                  </w:p>
                </w:txbxContent>
              </v:textbox>
            </v:shape>
          </w:pict>
        </mc:Fallback>
      </mc:AlternateContent>
    </w:r>
  </w:p>
  <w:p>
    <w:pPr>
      <w:pStyle w:val="1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974725" cy="147955"/>
              <wp:effectExtent l="0" t="0" r="9525" b="0"/>
              <wp:wrapNone/>
              <wp:docPr id="9" name="文本框 9"/>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wps:spPr>
                    <wps:txbx>
                      <w:txbxContent>
                        <w:p>
                          <w:pPr>
                            <w:pStyle w:val="15"/>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4384;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b8zK5jICAABTBAAADgAAAGRycy9lMm9Eb2MueG1srVTBjtMwEL0j&#10;8Q+W7zRt2e7SqumqbFWEVLErFcTZdZzGku2xbLdJ+QD4A05cuPNd/Q7GTtJFC4c9cHEnM+M3fm9m&#10;Or9ttCJH4bwEk9PRYEiJMBwKafY5/fRx/eoNJT4wUzAFRuT0JDy9Xbx8Ma/tTIyhAlUIRxDE+Flt&#10;c1qFYGdZ5nklNPMDsMJgsASnWcBPt88Kx2pE1yobD4fXWQ2usA648B69qzZIO0T3HEAoS8nFCvhB&#10;CxNaVCcUC0jJV9J6ukivLUvBw31ZehGIyikyDenEImjv4pkt5my2d8xWkndPYM95whNOmkmDRS9Q&#10;KxYYOTj5F5SW3IGHMgw46KwlkhRBFqPhE222FbMicUGpvb2I7v8fLP9wfHBEFjmdUmKYxoafv387&#10;//h1/vmVTKM8tfUzzNpazAvNW2hwaHq/R2dk3ZROx1/kQzCO4p4u4oomEI7O6c3VzXhCCcfQ6Opm&#10;OplElOzxsnU+vBOgSTRy6rB3SVJ23PjQpvYpsZaBtVQq9U8ZUuf0+vVkmC5cIgiuDNaIFNqnRis0&#10;u6bjtYPihLQctHPhLV9LLL5hPjwwh4OATHBVwj0epQIsAp1FSQXuy7/8MR/7g1FKahysnBrcI0rU&#10;e4N9izPYG643dr1hDvoOcFJHuIKWJxMvuKB6s3SgP+P+LGMNDDHDsVJOQ2/ehXa4cf+4WC5TEk6a&#10;ZWFjtpZH6Ciet8tDQAGTrlGUVolOK5y11JluL+Iw//mdsh7/Cx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WusPjSAAAABAEAAA8AAAAAAAAAAQAgAAAAIgAAAGRycy9kb3ducmV2LnhtbFBLAQIU&#10;ABQAAAAIAIdO4kBvzMrmMgIAAFMEAAAOAAAAAAAAAAEAIAAAACEBAABkcnMvZTJvRG9jLnhtbFBL&#10;BQYAAAAABgAGAFkBAADF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sdt>
      <w:sdtPr>
        <w:id w:val="626134785"/>
      </w:sdtPr>
      <w:sdtContent/>
    </w:sdt>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78635" cy="317500"/>
              <wp:effectExtent l="0" t="0" r="5715" b="0"/>
              <wp:wrapNone/>
              <wp:docPr id="7" name="文本框 7"/>
              <wp:cNvGraphicFramePr/>
              <a:graphic xmlns:a="http://schemas.openxmlformats.org/drawingml/2006/main">
                <a:graphicData uri="http://schemas.microsoft.com/office/word/2010/wordprocessingShape">
                  <wps:wsp>
                    <wps:cNvSpPr txBox="1"/>
                    <wps:spPr>
                      <a:xfrm>
                        <a:off x="0" y="0"/>
                        <a:ext cx="1778635" cy="317500"/>
                      </a:xfrm>
                      <a:prstGeom prst="rect">
                        <a:avLst/>
                      </a:prstGeom>
                      <a:noFill/>
                      <a:ln w="6350">
                        <a:noFill/>
                      </a:ln>
                    </wps:spPr>
                    <wps:txbx>
                      <w:txbxContent>
                        <w:p>
                          <w:pPr>
                            <w:pStyle w:val="1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5pt;width:140.05pt;mso-position-horizontal:center;mso-position-horizontal-relative:margin;mso-wrap-style:none;z-index:251661312;mso-width-relative:page;mso-height-relative:page;" filled="f" stroked="f" coordsize="21600,21600" o:gfxdata="UEsDBAoAAAAAAIdO4kAAAAAAAAAAAAAAAAAEAAAAZHJzL1BLAwQUAAAACACHTuJAE9QjINIAAAAE&#10;AQAADwAAAGRycy9kb3ducmV2LnhtbE2PzU7DMBCE70i8g7VI3Kid8qMqxKlERTgi0XDg6MZLErDX&#10;ke2m4e1ZuMBlpdGMZr6ttot3YsaYxkAaipUCgdQFO1Kv4bVtrjYgUjZkjQuEGr4wwbY+P6tMacOJ&#10;XnDe515wCaXSaBhynkopUzegN2kVJiT23kP0JrOMvbTRnLjcO7lW6k56MxIvDGbC3YDd5/7oNeya&#10;to0zpuje8Km5/nh+uMHHRevLi0Ldg8i45L8w/OAzOtTMdAhHskk4DfxI/r3srTeqAHHQcKsUyLqS&#10;/+Hrb1BLAwQUAAAACACHTuJA0wYjJDECAABUBAAADgAAAGRycy9lMm9Eb2MueG1srVRLbtswEN0X&#10;6B0I7mvJCRIHhuXAjeGiQNAEcIuuaYqyBPAHkrbkHqC9QVfddN9z+Rx9pCynSLvIoht6xJl5M+9x&#10;xrPbTkmyF843Rhd0PMopEZqbstHbgn76uHpzQ4kPTJdMGi0KehCe3s5fv5q1diouTG1kKRwBiPbT&#10;1ha0DsFOs8zzWijmR8YKDWdlnGIBn26blY61QFcyu8jz66w1rrTOcOE9bpe9k54Q3UsATVU1XCwN&#10;3ymhQ4/qhGQBlHzdWE/nqduqEjw8VJUXgciCgmlIJ4rA3sQzm8/YdOuYrRt+aoG9pIVnnBRrNIqe&#10;oZYsMLJzzV9QquHOeFOFETcq64kkRcBinD/TZl0zKxIXSO3tWXT//2D5h/2jI01Z0Aklmik8+PH7&#10;t+OPX8efX8kkytNaP0XU2iIudG9Nh6EZ7j0uI+uucir+gg+BH+IezuKKLhAekyaTm+vLK0o4fJfj&#10;yVWe1M+esq3z4Z0wikSjoA6PlzRl+3sf0AlCh5BYTJtVI2V6QKlJW1Cg5ynh7EGG1EiMHPpeoxW6&#10;TXcitjHlAbyc6QfDW75qUPye+fDIHCYBVLAr4QFHJQ2KmJNFSW3cl3/dx3g8ELyUtJisgmosEiXy&#10;vcbDxSEcDDcYm8HQO3VnMKpj7KDlyUSCC3IwK2fUZyzQItaAi2mOSgUNg3kX+unGAnKxWKQgjJpl&#10;4V6vLY/QUTxvF7sAAZOuUZReiZNWGLYk92kx4jT/+Z2inv4M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9QjINIAAAAEAQAADwAAAAAAAAABACAAAAAiAAAAZHJzL2Rvd25yZXYueG1sUEsBAhQA&#10;FAAAAAgAh07iQNMGIyQxAgAAVAQAAA4AAAAAAAAAAQAgAAAAIQEAAGRycy9lMm9Eb2MueG1sUEsF&#10;BgAAAAAGAAYAWQEAAMQFA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b/>
      </w:rPr>
    </w:pPr>
    <w:r>
      <w:rPr>
        <w:rFonts w:hint="eastAsia"/>
        <w:b/>
      </w:rPr>
      <w:t>江苏畅誉项目管理有限公司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rPr>
      <w:t>江苏畅誉项目管理有限公司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1E5BF"/>
    <w:multiLevelType w:val="singleLevel"/>
    <w:tmpl w:val="9CA1E5BF"/>
    <w:lvl w:ilvl="0" w:tentative="0">
      <w:start w:val="1"/>
      <w:numFmt w:val="decimal"/>
      <w:suff w:val="nothing"/>
      <w:lvlText w:val="%1、"/>
      <w:lvlJc w:val="left"/>
    </w:lvl>
  </w:abstractNum>
  <w:abstractNum w:abstractNumId="1">
    <w:nsid w:val="C9437B2F"/>
    <w:multiLevelType w:val="singleLevel"/>
    <w:tmpl w:val="C9437B2F"/>
    <w:lvl w:ilvl="0" w:tentative="0">
      <w:start w:val="7"/>
      <w:numFmt w:val="chineseCounting"/>
      <w:suff w:val="nothing"/>
      <w:lvlText w:val="%1、"/>
      <w:lvlJc w:val="left"/>
      <w:rPr>
        <w:rFonts w:hint="eastAsia"/>
      </w:rPr>
    </w:lvl>
  </w:abstractNum>
  <w:abstractNum w:abstractNumId="2">
    <w:nsid w:val="0A0D3D99"/>
    <w:multiLevelType w:val="multilevel"/>
    <w:tmpl w:val="0A0D3D99"/>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3F5F058D"/>
    <w:multiLevelType w:val="singleLevel"/>
    <w:tmpl w:val="3F5F058D"/>
    <w:lvl w:ilvl="0" w:tentative="0">
      <w:start w:val="5"/>
      <w:numFmt w:val="decimal"/>
      <w:suff w:val="nothing"/>
      <w:lvlText w:val="%1、"/>
      <w:lvlJc w:val="left"/>
    </w:lvl>
  </w:abstractNum>
  <w:abstractNum w:abstractNumId="4">
    <w:nsid w:val="571EC165"/>
    <w:multiLevelType w:val="singleLevel"/>
    <w:tmpl w:val="571EC165"/>
    <w:lvl w:ilvl="0" w:tentative="0">
      <w:start w:val="3"/>
      <w:numFmt w:val="chineseCounting"/>
      <w:suff w:val="nothing"/>
      <w:lvlText w:val="%1、"/>
      <w:lvlJc w:val="left"/>
    </w:lvl>
  </w:abstractNum>
  <w:abstractNum w:abstractNumId="5">
    <w:nsid w:val="6FE63C61"/>
    <w:multiLevelType w:val="singleLevel"/>
    <w:tmpl w:val="6FE63C61"/>
    <w:lvl w:ilvl="0" w:tentative="0">
      <w:start w:val="1"/>
      <w:numFmt w:val="chineseCounting"/>
      <w:suff w:val="nothing"/>
      <w:lvlText w:val="%1、"/>
      <w:lvlJc w:val="left"/>
      <w:rPr>
        <w:rFonts w:hint="eastAsia"/>
      </w:rPr>
    </w:lvl>
  </w:abstractNum>
  <w:abstractNum w:abstractNumId="6">
    <w:nsid w:val="7D904A97"/>
    <w:multiLevelType w:val="singleLevel"/>
    <w:tmpl w:val="7D904A97"/>
    <w:lvl w:ilvl="0" w:tentative="0">
      <w:start w:val="1"/>
      <w:numFmt w:val="decimal"/>
      <w:lvlText w:val="%1."/>
      <w:lvlJc w:val="left"/>
      <w:pPr>
        <w:tabs>
          <w:tab w:val="left" w:pos="312"/>
        </w:tabs>
      </w:pPr>
    </w:lvl>
  </w:abstractNum>
  <w:num w:numId="1">
    <w:abstractNumId w:val="5"/>
  </w:num>
  <w:num w:numId="2">
    <w:abstractNumId w:val="6"/>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jNGY2NGRkMWViYjU5M2JjMzEyYWU0ODA0ZWRkNDUifQ=="/>
  </w:docVars>
  <w:rsids>
    <w:rsidRoot w:val="11503357"/>
    <w:rsid w:val="00007F66"/>
    <w:rsid w:val="00011D34"/>
    <w:rsid w:val="00016741"/>
    <w:rsid w:val="00020D63"/>
    <w:rsid w:val="000452F5"/>
    <w:rsid w:val="00056B42"/>
    <w:rsid w:val="00075841"/>
    <w:rsid w:val="00097A8C"/>
    <w:rsid w:val="000A7C85"/>
    <w:rsid w:val="000C1A56"/>
    <w:rsid w:val="000E5E42"/>
    <w:rsid w:val="000E7B1F"/>
    <w:rsid w:val="000F726B"/>
    <w:rsid w:val="00100AB3"/>
    <w:rsid w:val="00100D9B"/>
    <w:rsid w:val="00100EEF"/>
    <w:rsid w:val="00105146"/>
    <w:rsid w:val="00121792"/>
    <w:rsid w:val="00122DB9"/>
    <w:rsid w:val="0013056A"/>
    <w:rsid w:val="00144A09"/>
    <w:rsid w:val="00165A38"/>
    <w:rsid w:val="0017013D"/>
    <w:rsid w:val="00174C0B"/>
    <w:rsid w:val="001806EE"/>
    <w:rsid w:val="001843FA"/>
    <w:rsid w:val="001B0107"/>
    <w:rsid w:val="001D2119"/>
    <w:rsid w:val="001D7603"/>
    <w:rsid w:val="001E4953"/>
    <w:rsid w:val="00207BD5"/>
    <w:rsid w:val="00270494"/>
    <w:rsid w:val="0028442B"/>
    <w:rsid w:val="00287E6C"/>
    <w:rsid w:val="0029114F"/>
    <w:rsid w:val="00295E8B"/>
    <w:rsid w:val="00296702"/>
    <w:rsid w:val="002D16EE"/>
    <w:rsid w:val="00302BD0"/>
    <w:rsid w:val="00306838"/>
    <w:rsid w:val="00347072"/>
    <w:rsid w:val="00365944"/>
    <w:rsid w:val="00371618"/>
    <w:rsid w:val="003739BE"/>
    <w:rsid w:val="0037403D"/>
    <w:rsid w:val="003774FC"/>
    <w:rsid w:val="00381617"/>
    <w:rsid w:val="00381A74"/>
    <w:rsid w:val="00381BEC"/>
    <w:rsid w:val="0038251F"/>
    <w:rsid w:val="00382EFB"/>
    <w:rsid w:val="00390F1E"/>
    <w:rsid w:val="00394B10"/>
    <w:rsid w:val="003B0198"/>
    <w:rsid w:val="003C2345"/>
    <w:rsid w:val="003C45B0"/>
    <w:rsid w:val="003D3A3C"/>
    <w:rsid w:val="003F0504"/>
    <w:rsid w:val="003F491F"/>
    <w:rsid w:val="003F4B3F"/>
    <w:rsid w:val="00414006"/>
    <w:rsid w:val="004462F2"/>
    <w:rsid w:val="00461C52"/>
    <w:rsid w:val="00471741"/>
    <w:rsid w:val="004810B5"/>
    <w:rsid w:val="00490F17"/>
    <w:rsid w:val="004E41B8"/>
    <w:rsid w:val="004F213F"/>
    <w:rsid w:val="005053D3"/>
    <w:rsid w:val="00511615"/>
    <w:rsid w:val="00512FEE"/>
    <w:rsid w:val="00550526"/>
    <w:rsid w:val="0056346B"/>
    <w:rsid w:val="00580695"/>
    <w:rsid w:val="005952B3"/>
    <w:rsid w:val="005B4388"/>
    <w:rsid w:val="00610852"/>
    <w:rsid w:val="00613F0F"/>
    <w:rsid w:val="006317FE"/>
    <w:rsid w:val="00655364"/>
    <w:rsid w:val="00694B8F"/>
    <w:rsid w:val="006A10E7"/>
    <w:rsid w:val="006B7057"/>
    <w:rsid w:val="006D0711"/>
    <w:rsid w:val="006D1BCC"/>
    <w:rsid w:val="00727EEC"/>
    <w:rsid w:val="00745A19"/>
    <w:rsid w:val="0075180D"/>
    <w:rsid w:val="00751F10"/>
    <w:rsid w:val="00754DB5"/>
    <w:rsid w:val="00773154"/>
    <w:rsid w:val="00776E10"/>
    <w:rsid w:val="00777D4C"/>
    <w:rsid w:val="00791559"/>
    <w:rsid w:val="00796E02"/>
    <w:rsid w:val="007A0F76"/>
    <w:rsid w:val="007A24E3"/>
    <w:rsid w:val="007D2866"/>
    <w:rsid w:val="007E1629"/>
    <w:rsid w:val="007E1822"/>
    <w:rsid w:val="007F368D"/>
    <w:rsid w:val="007F4311"/>
    <w:rsid w:val="00800397"/>
    <w:rsid w:val="00807104"/>
    <w:rsid w:val="00823676"/>
    <w:rsid w:val="00835349"/>
    <w:rsid w:val="00840830"/>
    <w:rsid w:val="00842EB0"/>
    <w:rsid w:val="00843E38"/>
    <w:rsid w:val="00851025"/>
    <w:rsid w:val="00872897"/>
    <w:rsid w:val="00880437"/>
    <w:rsid w:val="008A27F2"/>
    <w:rsid w:val="008A4AEE"/>
    <w:rsid w:val="008C7E01"/>
    <w:rsid w:val="008D1117"/>
    <w:rsid w:val="008E4172"/>
    <w:rsid w:val="00905039"/>
    <w:rsid w:val="00925B51"/>
    <w:rsid w:val="00933560"/>
    <w:rsid w:val="009500AC"/>
    <w:rsid w:val="0095087F"/>
    <w:rsid w:val="00955F59"/>
    <w:rsid w:val="00960A8D"/>
    <w:rsid w:val="0096145A"/>
    <w:rsid w:val="00982F02"/>
    <w:rsid w:val="009931B0"/>
    <w:rsid w:val="009B11C8"/>
    <w:rsid w:val="009D5B95"/>
    <w:rsid w:val="009D7483"/>
    <w:rsid w:val="00A02DCD"/>
    <w:rsid w:val="00A04BFC"/>
    <w:rsid w:val="00A527AD"/>
    <w:rsid w:val="00A612E9"/>
    <w:rsid w:val="00A65BCF"/>
    <w:rsid w:val="00A72035"/>
    <w:rsid w:val="00A759CC"/>
    <w:rsid w:val="00A81FFE"/>
    <w:rsid w:val="00A90783"/>
    <w:rsid w:val="00AA3463"/>
    <w:rsid w:val="00AA3909"/>
    <w:rsid w:val="00AB29CF"/>
    <w:rsid w:val="00AC382B"/>
    <w:rsid w:val="00AE79CC"/>
    <w:rsid w:val="00AF1F24"/>
    <w:rsid w:val="00AF351D"/>
    <w:rsid w:val="00B010B9"/>
    <w:rsid w:val="00B04B82"/>
    <w:rsid w:val="00B21917"/>
    <w:rsid w:val="00B36752"/>
    <w:rsid w:val="00B56768"/>
    <w:rsid w:val="00B62D1C"/>
    <w:rsid w:val="00B6488E"/>
    <w:rsid w:val="00B7542D"/>
    <w:rsid w:val="00B94A24"/>
    <w:rsid w:val="00BB2E56"/>
    <w:rsid w:val="00BC3BC4"/>
    <w:rsid w:val="00BE4EBB"/>
    <w:rsid w:val="00BF4984"/>
    <w:rsid w:val="00C21A5D"/>
    <w:rsid w:val="00C67ACE"/>
    <w:rsid w:val="00CA0C68"/>
    <w:rsid w:val="00CA4B54"/>
    <w:rsid w:val="00CB625E"/>
    <w:rsid w:val="00CD2941"/>
    <w:rsid w:val="00CD561C"/>
    <w:rsid w:val="00CF19B6"/>
    <w:rsid w:val="00D1477D"/>
    <w:rsid w:val="00D248F3"/>
    <w:rsid w:val="00D30128"/>
    <w:rsid w:val="00D33A40"/>
    <w:rsid w:val="00D365A2"/>
    <w:rsid w:val="00D84226"/>
    <w:rsid w:val="00D8798D"/>
    <w:rsid w:val="00DA4283"/>
    <w:rsid w:val="00DB341F"/>
    <w:rsid w:val="00DD162A"/>
    <w:rsid w:val="00DE0D74"/>
    <w:rsid w:val="00DF7C5C"/>
    <w:rsid w:val="00E017F3"/>
    <w:rsid w:val="00E27C17"/>
    <w:rsid w:val="00E353D4"/>
    <w:rsid w:val="00E63F9C"/>
    <w:rsid w:val="00E64261"/>
    <w:rsid w:val="00E65BC5"/>
    <w:rsid w:val="00E84FBE"/>
    <w:rsid w:val="00E85EC5"/>
    <w:rsid w:val="00E928E8"/>
    <w:rsid w:val="00EB42CC"/>
    <w:rsid w:val="00EB4991"/>
    <w:rsid w:val="00ED4F78"/>
    <w:rsid w:val="00ED5F6E"/>
    <w:rsid w:val="00EE48C3"/>
    <w:rsid w:val="00F10765"/>
    <w:rsid w:val="00F253EC"/>
    <w:rsid w:val="00F41B13"/>
    <w:rsid w:val="00F47DB0"/>
    <w:rsid w:val="00F70498"/>
    <w:rsid w:val="00F771FD"/>
    <w:rsid w:val="00F83A9A"/>
    <w:rsid w:val="00F850E8"/>
    <w:rsid w:val="00FD2D1F"/>
    <w:rsid w:val="00FE6F0C"/>
    <w:rsid w:val="010B3AD3"/>
    <w:rsid w:val="0110434D"/>
    <w:rsid w:val="027520D7"/>
    <w:rsid w:val="02B0310F"/>
    <w:rsid w:val="039A5559"/>
    <w:rsid w:val="03EA5256"/>
    <w:rsid w:val="05B0498B"/>
    <w:rsid w:val="05DD4FC0"/>
    <w:rsid w:val="05E25354"/>
    <w:rsid w:val="067502B5"/>
    <w:rsid w:val="071F0864"/>
    <w:rsid w:val="074A432C"/>
    <w:rsid w:val="082B0376"/>
    <w:rsid w:val="08830129"/>
    <w:rsid w:val="09902AFD"/>
    <w:rsid w:val="0A40746F"/>
    <w:rsid w:val="0B3C2EE9"/>
    <w:rsid w:val="0B3F57A4"/>
    <w:rsid w:val="0BD11CEC"/>
    <w:rsid w:val="0C155EE4"/>
    <w:rsid w:val="0C1F75DB"/>
    <w:rsid w:val="0CFD6A1D"/>
    <w:rsid w:val="0DEE61BE"/>
    <w:rsid w:val="0F482AC4"/>
    <w:rsid w:val="0FF30ADF"/>
    <w:rsid w:val="10597333"/>
    <w:rsid w:val="11503357"/>
    <w:rsid w:val="117637B1"/>
    <w:rsid w:val="118A27D9"/>
    <w:rsid w:val="11CD36ED"/>
    <w:rsid w:val="11DA4164"/>
    <w:rsid w:val="1214479B"/>
    <w:rsid w:val="128E708D"/>
    <w:rsid w:val="13623DBA"/>
    <w:rsid w:val="136917E4"/>
    <w:rsid w:val="140D5A22"/>
    <w:rsid w:val="14EB7FD7"/>
    <w:rsid w:val="15080B89"/>
    <w:rsid w:val="15127C5A"/>
    <w:rsid w:val="157A72BA"/>
    <w:rsid w:val="158D5ED0"/>
    <w:rsid w:val="15CC28BE"/>
    <w:rsid w:val="160B0931"/>
    <w:rsid w:val="164E20A4"/>
    <w:rsid w:val="1731694B"/>
    <w:rsid w:val="17F307CB"/>
    <w:rsid w:val="188A04FE"/>
    <w:rsid w:val="18C13B17"/>
    <w:rsid w:val="19C157C2"/>
    <w:rsid w:val="1A825CDF"/>
    <w:rsid w:val="1B4509B0"/>
    <w:rsid w:val="1C220723"/>
    <w:rsid w:val="1C874A89"/>
    <w:rsid w:val="1D061199"/>
    <w:rsid w:val="1D86171E"/>
    <w:rsid w:val="1DE657E0"/>
    <w:rsid w:val="1DFA0837"/>
    <w:rsid w:val="1E672DC4"/>
    <w:rsid w:val="1F7D0094"/>
    <w:rsid w:val="1F9F033C"/>
    <w:rsid w:val="20452C91"/>
    <w:rsid w:val="20E64474"/>
    <w:rsid w:val="211C739C"/>
    <w:rsid w:val="21C77D94"/>
    <w:rsid w:val="2344302D"/>
    <w:rsid w:val="23573C6C"/>
    <w:rsid w:val="235800A5"/>
    <w:rsid w:val="251315B0"/>
    <w:rsid w:val="267C13D7"/>
    <w:rsid w:val="26DF720D"/>
    <w:rsid w:val="274C62F5"/>
    <w:rsid w:val="27554102"/>
    <w:rsid w:val="28650137"/>
    <w:rsid w:val="294A7466"/>
    <w:rsid w:val="29C81659"/>
    <w:rsid w:val="2A050A91"/>
    <w:rsid w:val="2A081E72"/>
    <w:rsid w:val="2A2953D2"/>
    <w:rsid w:val="2AD86423"/>
    <w:rsid w:val="2B2F1D5F"/>
    <w:rsid w:val="2B7B5E0E"/>
    <w:rsid w:val="2CCF677F"/>
    <w:rsid w:val="2D7E77E3"/>
    <w:rsid w:val="2E6013B9"/>
    <w:rsid w:val="2EF258AE"/>
    <w:rsid w:val="2FA8276E"/>
    <w:rsid w:val="2FA91EBE"/>
    <w:rsid w:val="306A5E60"/>
    <w:rsid w:val="311C4778"/>
    <w:rsid w:val="31E312B1"/>
    <w:rsid w:val="323760CF"/>
    <w:rsid w:val="326F3CEB"/>
    <w:rsid w:val="32BD2363"/>
    <w:rsid w:val="32E14A9C"/>
    <w:rsid w:val="3532310B"/>
    <w:rsid w:val="35A05D86"/>
    <w:rsid w:val="368D7288"/>
    <w:rsid w:val="36D35B2E"/>
    <w:rsid w:val="36E20DE2"/>
    <w:rsid w:val="375D2DA8"/>
    <w:rsid w:val="389159CC"/>
    <w:rsid w:val="38D62BFD"/>
    <w:rsid w:val="38DC311F"/>
    <w:rsid w:val="39033292"/>
    <w:rsid w:val="39674370"/>
    <w:rsid w:val="39EC7CB4"/>
    <w:rsid w:val="3A614610"/>
    <w:rsid w:val="3A9605C9"/>
    <w:rsid w:val="3B0945FC"/>
    <w:rsid w:val="3B9F54F4"/>
    <w:rsid w:val="3BC46E68"/>
    <w:rsid w:val="3C3F1E27"/>
    <w:rsid w:val="3C4933E2"/>
    <w:rsid w:val="3C9C6416"/>
    <w:rsid w:val="3E1A03AF"/>
    <w:rsid w:val="40C610F4"/>
    <w:rsid w:val="40CF0D38"/>
    <w:rsid w:val="40FF436F"/>
    <w:rsid w:val="411E510D"/>
    <w:rsid w:val="415E7BFF"/>
    <w:rsid w:val="421F203A"/>
    <w:rsid w:val="433B01F8"/>
    <w:rsid w:val="43F90E21"/>
    <w:rsid w:val="449A56E1"/>
    <w:rsid w:val="45791A39"/>
    <w:rsid w:val="45CF2405"/>
    <w:rsid w:val="46516BD2"/>
    <w:rsid w:val="467D254B"/>
    <w:rsid w:val="48470484"/>
    <w:rsid w:val="48674AAB"/>
    <w:rsid w:val="48B869A3"/>
    <w:rsid w:val="4A8E5BC6"/>
    <w:rsid w:val="4AE056A6"/>
    <w:rsid w:val="4B8E0FDD"/>
    <w:rsid w:val="4C003D8D"/>
    <w:rsid w:val="4CAC4D81"/>
    <w:rsid w:val="4CF46A5E"/>
    <w:rsid w:val="4D6B41E4"/>
    <w:rsid w:val="4DC8394B"/>
    <w:rsid w:val="4DF85E67"/>
    <w:rsid w:val="50281264"/>
    <w:rsid w:val="50BC4940"/>
    <w:rsid w:val="511E563F"/>
    <w:rsid w:val="516A7DF6"/>
    <w:rsid w:val="51C8287E"/>
    <w:rsid w:val="52733990"/>
    <w:rsid w:val="52A720B3"/>
    <w:rsid w:val="53182FAA"/>
    <w:rsid w:val="54341113"/>
    <w:rsid w:val="54D9742D"/>
    <w:rsid w:val="55F47609"/>
    <w:rsid w:val="57B23381"/>
    <w:rsid w:val="58170B75"/>
    <w:rsid w:val="58234994"/>
    <w:rsid w:val="587358E6"/>
    <w:rsid w:val="5A144EA7"/>
    <w:rsid w:val="5C850FB8"/>
    <w:rsid w:val="5C961BA3"/>
    <w:rsid w:val="5D4D6706"/>
    <w:rsid w:val="5D752101"/>
    <w:rsid w:val="5D8440F2"/>
    <w:rsid w:val="5E721FFD"/>
    <w:rsid w:val="5FA026E7"/>
    <w:rsid w:val="60160345"/>
    <w:rsid w:val="60307DE2"/>
    <w:rsid w:val="60760E8B"/>
    <w:rsid w:val="60D47047"/>
    <w:rsid w:val="61044DA7"/>
    <w:rsid w:val="61693D2A"/>
    <w:rsid w:val="619D1288"/>
    <w:rsid w:val="622C200E"/>
    <w:rsid w:val="627E2712"/>
    <w:rsid w:val="651346D9"/>
    <w:rsid w:val="657B4072"/>
    <w:rsid w:val="65CF0692"/>
    <w:rsid w:val="65FC516D"/>
    <w:rsid w:val="66076049"/>
    <w:rsid w:val="67A0037D"/>
    <w:rsid w:val="67C63C85"/>
    <w:rsid w:val="680F23C8"/>
    <w:rsid w:val="68305B8E"/>
    <w:rsid w:val="6874548F"/>
    <w:rsid w:val="691D1DC4"/>
    <w:rsid w:val="6A741864"/>
    <w:rsid w:val="6B8E0476"/>
    <w:rsid w:val="6CDE381E"/>
    <w:rsid w:val="6CE238A4"/>
    <w:rsid w:val="6D68133A"/>
    <w:rsid w:val="6E865639"/>
    <w:rsid w:val="6ECB66E8"/>
    <w:rsid w:val="70A47020"/>
    <w:rsid w:val="717534C3"/>
    <w:rsid w:val="72B9250E"/>
    <w:rsid w:val="72EA0195"/>
    <w:rsid w:val="732B573B"/>
    <w:rsid w:val="74A055AC"/>
    <w:rsid w:val="763E26CA"/>
    <w:rsid w:val="76472144"/>
    <w:rsid w:val="76E00193"/>
    <w:rsid w:val="76F0487A"/>
    <w:rsid w:val="776668EA"/>
    <w:rsid w:val="79633776"/>
    <w:rsid w:val="7A97325F"/>
    <w:rsid w:val="7B871525"/>
    <w:rsid w:val="7BC64E72"/>
    <w:rsid w:val="7C10151B"/>
    <w:rsid w:val="7C2728DD"/>
    <w:rsid w:val="7D0B7D55"/>
    <w:rsid w:val="7DDD79B2"/>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pageBreakBefore/>
      <w:tabs>
        <w:tab w:val="left" w:pos="1571"/>
      </w:tabs>
      <w:adjustRightInd w:val="0"/>
      <w:spacing w:before="50"/>
      <w:ind w:left="1283" w:hanging="432"/>
      <w:jc w:val="center"/>
      <w:outlineLvl w:val="0"/>
    </w:pPr>
    <w:rPr>
      <w:rFonts w:ascii="Times New Roman" w:hAnsi="Times New Roman" w:eastAsia="黑体"/>
      <w:b/>
      <w:kern w:val="0"/>
      <w:sz w:val="44"/>
      <w:szCs w:val="20"/>
    </w:rPr>
  </w:style>
  <w:style w:type="paragraph" w:styleId="5">
    <w:name w:val="heading 2"/>
    <w:basedOn w:val="1"/>
    <w:next w:val="1"/>
    <w:qFormat/>
    <w:uiPriority w:val="0"/>
    <w:pPr>
      <w:keepNext/>
      <w:keepLines/>
      <w:tabs>
        <w:tab w:val="left" w:pos="0"/>
      </w:tabs>
      <w:spacing w:before="50"/>
      <w:jc w:val="left"/>
      <w:outlineLvl w:val="1"/>
    </w:pPr>
    <w:rPr>
      <w:rFonts w:ascii="Arial" w:hAnsi="Arial" w:eastAsia="黑体"/>
      <w:kern w:val="0"/>
      <w:sz w:val="32"/>
      <w:szCs w:val="20"/>
    </w:rPr>
  </w:style>
  <w:style w:type="paragraph" w:styleId="6">
    <w:name w:val="heading 3"/>
    <w:basedOn w:val="1"/>
    <w:next w:val="1"/>
    <w:link w:val="39"/>
    <w:unhideWhenUsed/>
    <w:qFormat/>
    <w:uiPriority w:val="9"/>
    <w:pPr>
      <w:keepNext/>
      <w:keepLines/>
      <w:spacing w:before="260" w:after="260" w:line="416" w:lineRule="auto"/>
      <w:outlineLvl w:val="2"/>
    </w:pPr>
    <w:rPr>
      <w:rFonts w:ascii="Times New Roman" w:hAnsi="Times New Roman"/>
      <w:b/>
      <w:bCs/>
      <w:sz w:val="32"/>
      <w:szCs w:val="32"/>
    </w:rPr>
  </w:style>
  <w:style w:type="paragraph" w:styleId="7">
    <w:name w:val="heading 4"/>
    <w:basedOn w:val="1"/>
    <w:next w:val="1"/>
    <w:link w:val="3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0"/>
    <w:qFormat/>
    <w:uiPriority w:val="0"/>
    <w:pPr>
      <w:ind w:firstLine="420"/>
    </w:pPr>
    <w:rPr>
      <w:rFonts w:ascii="Times New Roman" w:hAnsi="Times New Roman"/>
      <w:kern w:val="0"/>
      <w:sz w:val="20"/>
      <w:szCs w:val="20"/>
    </w:rPr>
  </w:style>
  <w:style w:type="paragraph" w:styleId="3">
    <w:name w:val="Body Text"/>
    <w:basedOn w:val="1"/>
    <w:next w:val="1"/>
    <w:link w:val="34"/>
    <w:unhideWhenUsed/>
    <w:qFormat/>
    <w:uiPriority w:val="0"/>
    <w:pPr>
      <w:spacing w:after="120"/>
    </w:pPr>
  </w:style>
  <w:style w:type="paragraph" w:styleId="8">
    <w:name w:val="Normal Indent"/>
    <w:basedOn w:val="1"/>
    <w:next w:val="1"/>
    <w:qFormat/>
    <w:uiPriority w:val="0"/>
    <w:pPr>
      <w:ind w:firstLine="420" w:firstLineChars="200"/>
    </w:pPr>
    <w:rPr>
      <w:kern w:val="0"/>
      <w:sz w:val="24"/>
      <w:szCs w:val="20"/>
    </w:rPr>
  </w:style>
  <w:style w:type="paragraph" w:styleId="9">
    <w:name w:val="annotation text"/>
    <w:basedOn w:val="1"/>
    <w:link w:val="36"/>
    <w:qFormat/>
    <w:uiPriority w:val="99"/>
    <w:pPr>
      <w:jc w:val="left"/>
    </w:pPr>
    <w:rPr>
      <w:rFonts w:ascii="Times New Roman" w:hAnsi="Times New Roman"/>
      <w:kern w:val="0"/>
      <w:sz w:val="20"/>
      <w:szCs w:val="24"/>
    </w:rPr>
  </w:style>
  <w:style w:type="paragraph" w:styleId="10">
    <w:name w:val="Body Text Indent"/>
    <w:basedOn w:val="1"/>
    <w:next w:val="1"/>
    <w:qFormat/>
    <w:uiPriority w:val="0"/>
    <w:pPr>
      <w:tabs>
        <w:tab w:val="left" w:pos="0"/>
        <w:tab w:val="left" w:pos="993"/>
        <w:tab w:val="left" w:pos="1134"/>
      </w:tabs>
      <w:spacing w:line="500" w:lineRule="exact"/>
      <w:ind w:firstLine="567"/>
    </w:pPr>
    <w:rPr>
      <w:rFonts w:ascii="宋体"/>
      <w:sz w:val="28"/>
    </w:rPr>
  </w:style>
  <w:style w:type="paragraph" w:styleId="11">
    <w:name w:val="List 2"/>
    <w:basedOn w:val="1"/>
    <w:qFormat/>
    <w:uiPriority w:val="0"/>
    <w:pPr>
      <w:tabs>
        <w:tab w:val="left" w:pos="1020"/>
      </w:tabs>
      <w:spacing w:line="360" w:lineRule="exact"/>
      <w:ind w:left="1020" w:hanging="420"/>
    </w:pPr>
    <w:rPr>
      <w:rFonts w:ascii="Times New Roman" w:hAnsi="Times New Roman"/>
      <w:bCs/>
      <w:szCs w:val="24"/>
    </w:rPr>
  </w:style>
  <w:style w:type="paragraph" w:styleId="12">
    <w:name w:val="List Continue"/>
    <w:basedOn w:val="1"/>
    <w:qFormat/>
    <w:uiPriority w:val="0"/>
    <w:pPr>
      <w:spacing w:after="120"/>
      <w:ind w:left="420" w:leftChars="200"/>
      <w:contextualSpacing/>
    </w:pPr>
  </w:style>
  <w:style w:type="paragraph" w:styleId="13">
    <w:name w:val="Plain Text"/>
    <w:basedOn w:val="1"/>
    <w:link w:val="35"/>
    <w:qFormat/>
    <w:uiPriority w:val="0"/>
    <w:rPr>
      <w:rFonts w:ascii="宋体" w:hAnsi="Courier New"/>
      <w:kern w:val="0"/>
      <w:sz w:val="20"/>
      <w:szCs w:val="20"/>
    </w:rPr>
  </w:style>
  <w:style w:type="paragraph" w:styleId="14">
    <w:name w:val="Balloon Text"/>
    <w:basedOn w:val="1"/>
    <w:link w:val="46"/>
    <w:unhideWhenUsed/>
    <w:qFormat/>
    <w:uiPriority w:val="0"/>
    <w:rPr>
      <w:rFonts w:ascii="Times New Roman" w:hAnsi="Times New Roman"/>
      <w:sz w:val="18"/>
      <w:szCs w:val="18"/>
    </w:rPr>
  </w:style>
  <w:style w:type="paragraph" w:styleId="15">
    <w:name w:val="footer"/>
    <w:basedOn w:val="1"/>
    <w:link w:val="47"/>
    <w:unhideWhenUsed/>
    <w:qFormat/>
    <w:uiPriority w:val="99"/>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rFonts w:ascii="Times New Roman" w:hAnsi="Times New Roman"/>
      <w:b/>
      <w:bCs/>
      <w:caps/>
      <w:sz w:val="20"/>
      <w:szCs w:val="20"/>
    </w:rPr>
  </w:style>
  <w:style w:type="paragraph" w:styleId="18">
    <w:name w:val="Normal (Web)"/>
    <w:basedOn w:val="1"/>
    <w:qFormat/>
    <w:uiPriority w:val="0"/>
    <w:rPr>
      <w:rFonts w:ascii="Times New Roman" w:hAnsi="Times New Roman"/>
      <w:sz w:val="24"/>
      <w:szCs w:val="20"/>
    </w:rPr>
  </w:style>
  <w:style w:type="paragraph" w:styleId="19">
    <w:name w:val="Body Text First Indent 2"/>
    <w:basedOn w:val="10"/>
    <w:next w:val="1"/>
    <w:qFormat/>
    <w:uiPriority w:val="0"/>
    <w:pPr>
      <w:ind w:firstLine="420"/>
    </w:pPr>
  </w:style>
  <w:style w:type="table" w:styleId="21">
    <w:name w:val="Table Grid"/>
    <w:basedOn w:val="20"/>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color w:val="0000FF"/>
      <w:u w:val="single"/>
    </w:rPr>
  </w:style>
  <w:style w:type="character" w:styleId="24">
    <w:name w:val="annotation reference"/>
    <w:basedOn w:val="22"/>
    <w:qFormat/>
    <w:uiPriority w:val="99"/>
    <w:rPr>
      <w:sz w:val="21"/>
      <w:szCs w:val="21"/>
    </w:rPr>
  </w:style>
  <w:style w:type="paragraph" w:customStyle="1" w:styleId="25">
    <w:name w:val="Í¼±íÕýÎÄ"/>
    <w:basedOn w:val="1"/>
    <w:next w:val="8"/>
    <w:qFormat/>
    <w:uiPriority w:val="0"/>
    <w:pPr>
      <w:ind w:firstLine="420" w:firstLineChars="200"/>
    </w:pPr>
    <w:rPr>
      <w:rFonts w:ascii="Times New Roman" w:hAnsi="Times New Roman"/>
      <w:sz w:val="24"/>
      <w:szCs w:val="20"/>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材料标题"/>
    <w:basedOn w:val="1"/>
    <w:qFormat/>
    <w:uiPriority w:val="0"/>
    <w:pPr>
      <w:adjustRightInd w:val="0"/>
      <w:snapToGrid w:val="0"/>
      <w:spacing w:line="700" w:lineRule="exact"/>
      <w:jc w:val="center"/>
    </w:pPr>
    <w:rPr>
      <w:rFonts w:ascii="方正小标宋简体" w:hAnsi="Times New Roman" w:eastAsia="方正小标宋简体"/>
      <w:color w:val="000000"/>
      <w:sz w:val="44"/>
      <w:szCs w:val="44"/>
    </w:rPr>
  </w:style>
  <w:style w:type="paragraph" w:customStyle="1" w:styleId="28">
    <w:name w:val="成文日期"/>
    <w:basedOn w:val="1"/>
    <w:qFormat/>
    <w:uiPriority w:val="0"/>
    <w:pPr>
      <w:spacing w:line="570" w:lineRule="exact"/>
      <w:ind w:right="400" w:rightChars="400" w:firstLine="200" w:firstLineChars="200"/>
      <w:jc w:val="right"/>
    </w:pPr>
    <w:rPr>
      <w:rFonts w:ascii="仿宋_GB2312" w:hAnsi="Times New Roman" w:eastAsia="仿宋_GB2312"/>
      <w:sz w:val="32"/>
      <w:szCs w:val="20"/>
      <w:lang w:val="zh-CN"/>
    </w:rPr>
  </w:style>
  <w:style w:type="paragraph" w:customStyle="1" w:styleId="29">
    <w:name w:val="纯文本1"/>
    <w:basedOn w:val="1"/>
    <w:qFormat/>
    <w:uiPriority w:val="0"/>
    <w:rPr>
      <w:rFonts w:hint="eastAsia" w:ascii="宋体" w:hAnsi="Courier New"/>
      <w:kern w:val="0"/>
      <w:sz w:val="20"/>
      <w:szCs w:val="20"/>
    </w:rPr>
  </w:style>
  <w:style w:type="paragraph" w:customStyle="1" w:styleId="30">
    <w:name w:val="正文1"/>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31">
    <w:name w:val="正文缩进1"/>
    <w:basedOn w:val="1"/>
    <w:qFormat/>
    <w:uiPriority w:val="0"/>
    <w:pPr>
      <w:autoSpaceDE w:val="0"/>
      <w:autoSpaceDN w:val="0"/>
      <w:adjustRightInd w:val="0"/>
      <w:ind w:firstLine="420"/>
      <w:jc w:val="left"/>
    </w:pPr>
    <w:rPr>
      <w:rFonts w:hint="eastAsia" w:ascii="宋体"/>
      <w:kern w:val="0"/>
      <w:sz w:val="24"/>
      <w:szCs w:val="20"/>
    </w:rPr>
  </w:style>
  <w:style w:type="paragraph" w:customStyle="1" w:styleId="32">
    <w:name w:val="索引 11"/>
    <w:basedOn w:val="1"/>
    <w:next w:val="1"/>
    <w:qFormat/>
    <w:uiPriority w:val="0"/>
    <w:pPr>
      <w:spacing w:line="360" w:lineRule="auto"/>
    </w:pPr>
    <w:rPr>
      <w:rFonts w:hint="eastAsia" w:ascii="仿宋_GB2312" w:hAnsi="Times New Roman" w:eastAsia="仿宋_GB2312"/>
      <w:sz w:val="24"/>
      <w:szCs w:val="20"/>
    </w:rPr>
  </w:style>
  <w:style w:type="paragraph" w:customStyle="1" w:styleId="33">
    <w:name w:val="Body text|1"/>
    <w:basedOn w:val="1"/>
    <w:qFormat/>
    <w:uiPriority w:val="0"/>
    <w:pPr>
      <w:ind w:firstLine="170"/>
    </w:pPr>
    <w:rPr>
      <w:rFonts w:ascii="宋体" w:hAnsi="宋体" w:cs="宋体"/>
      <w:sz w:val="26"/>
      <w:szCs w:val="26"/>
      <w:lang w:val="zh-TW" w:eastAsia="zh-TW" w:bidi="zh-TW"/>
    </w:rPr>
  </w:style>
  <w:style w:type="character" w:customStyle="1" w:styleId="34">
    <w:name w:val="正文文本 字符"/>
    <w:basedOn w:val="22"/>
    <w:link w:val="3"/>
    <w:qFormat/>
    <w:uiPriority w:val="99"/>
    <w:rPr>
      <w:kern w:val="2"/>
      <w:sz w:val="21"/>
      <w:szCs w:val="22"/>
    </w:rPr>
  </w:style>
  <w:style w:type="character" w:customStyle="1" w:styleId="35">
    <w:name w:val="纯文本 字符"/>
    <w:link w:val="13"/>
    <w:qFormat/>
    <w:uiPriority w:val="0"/>
    <w:rPr>
      <w:rFonts w:ascii="宋体" w:hAnsi="Courier New"/>
    </w:rPr>
  </w:style>
  <w:style w:type="character" w:customStyle="1" w:styleId="36">
    <w:name w:val="批注文字 字符1"/>
    <w:link w:val="9"/>
    <w:qFormat/>
    <w:uiPriority w:val="99"/>
    <w:rPr>
      <w:rFonts w:ascii="Times New Roman" w:hAnsi="Times New Roman"/>
      <w:szCs w:val="24"/>
    </w:rPr>
  </w:style>
  <w:style w:type="character" w:customStyle="1" w:styleId="37">
    <w:name w:val="批注文字 字符"/>
    <w:basedOn w:val="22"/>
    <w:qFormat/>
    <w:uiPriority w:val="0"/>
    <w:rPr>
      <w:kern w:val="2"/>
      <w:sz w:val="21"/>
      <w:szCs w:val="22"/>
    </w:rPr>
  </w:style>
  <w:style w:type="character" w:customStyle="1" w:styleId="38">
    <w:name w:val="标题 4 字符"/>
    <w:basedOn w:val="22"/>
    <w:link w:val="7"/>
    <w:semiHidden/>
    <w:qFormat/>
    <w:uiPriority w:val="0"/>
    <w:rPr>
      <w:rFonts w:asciiTheme="majorHAnsi" w:hAnsiTheme="majorHAnsi" w:eastAsiaTheme="majorEastAsia" w:cstheme="majorBidi"/>
      <w:b/>
      <w:bCs/>
      <w:kern w:val="2"/>
      <w:sz w:val="28"/>
      <w:szCs w:val="28"/>
    </w:rPr>
  </w:style>
  <w:style w:type="character" w:customStyle="1" w:styleId="39">
    <w:name w:val="标题 3 字符"/>
    <w:basedOn w:val="22"/>
    <w:link w:val="6"/>
    <w:qFormat/>
    <w:uiPriority w:val="9"/>
    <w:rPr>
      <w:rFonts w:ascii="Times New Roman" w:hAnsi="Times New Roman"/>
      <w:b/>
      <w:bCs/>
      <w:kern w:val="2"/>
      <w:sz w:val="32"/>
      <w:szCs w:val="32"/>
    </w:rPr>
  </w:style>
  <w:style w:type="character" w:customStyle="1" w:styleId="40">
    <w:name w:val="正文文本首行缩进 字符"/>
    <w:basedOn w:val="34"/>
    <w:link w:val="2"/>
    <w:qFormat/>
    <w:uiPriority w:val="0"/>
    <w:rPr>
      <w:rFonts w:ascii="Times New Roman" w:hAnsi="Times New Roman"/>
      <w:kern w:val="2"/>
      <w:sz w:val="21"/>
      <w:szCs w:val="22"/>
    </w:rPr>
  </w:style>
  <w:style w:type="paragraph" w:customStyle="1" w:styleId="41">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42">
    <w:name w:val="Header or footer|1"/>
    <w:basedOn w:val="1"/>
    <w:qFormat/>
    <w:uiPriority w:val="0"/>
    <w:rPr>
      <w:rFonts w:ascii="Times New Roman" w:hAnsi="Times New Roman"/>
      <w:szCs w:val="24"/>
      <w:lang w:val="zh-TW" w:eastAsia="zh-TW" w:bidi="zh-TW"/>
    </w:rPr>
  </w:style>
  <w:style w:type="paragraph" w:customStyle="1" w:styleId="43">
    <w:name w:val="正文_0_1"/>
    <w:qFormat/>
    <w:uiPriority w:val="0"/>
    <w:pPr>
      <w:widowControl w:val="0"/>
      <w:jc w:val="both"/>
    </w:pPr>
    <w:rPr>
      <w:rFonts w:ascii="Calibri" w:hAnsi="Calibri" w:eastAsia="宋体" w:cs="Times New Roman"/>
      <w:kern w:val="2"/>
      <w:sz w:val="21"/>
      <w:szCs w:val="22"/>
      <w:lang w:val="en-US" w:eastAsia="zh-CN" w:bidi="ar-SA"/>
    </w:rPr>
  </w:style>
  <w:style w:type="paragraph" w:styleId="44">
    <w:name w:val="List Paragraph"/>
    <w:basedOn w:val="1"/>
    <w:qFormat/>
    <w:uiPriority w:val="99"/>
    <w:pPr>
      <w:ind w:firstLine="420" w:firstLineChars="200"/>
    </w:pPr>
    <w:rPr>
      <w:szCs w:val="20"/>
    </w:rPr>
  </w:style>
  <w:style w:type="paragraph" w:customStyle="1" w:styleId="45">
    <w:name w:val="msolistparagraph"/>
    <w:basedOn w:val="1"/>
    <w:qFormat/>
    <w:uiPriority w:val="99"/>
    <w:pPr>
      <w:ind w:firstLine="420" w:firstLineChars="200"/>
    </w:pPr>
    <w:rPr>
      <w:rFonts w:ascii="Times New Roman" w:hAnsi="Times New Roman"/>
      <w:szCs w:val="24"/>
    </w:rPr>
  </w:style>
  <w:style w:type="character" w:customStyle="1" w:styleId="46">
    <w:name w:val="批注框文本 字符"/>
    <w:basedOn w:val="22"/>
    <w:link w:val="14"/>
    <w:qFormat/>
    <w:uiPriority w:val="0"/>
    <w:rPr>
      <w:rFonts w:ascii="Times New Roman" w:hAnsi="Times New Roman"/>
      <w:kern w:val="2"/>
      <w:sz w:val="18"/>
      <w:szCs w:val="18"/>
    </w:rPr>
  </w:style>
  <w:style w:type="character" w:customStyle="1" w:styleId="47">
    <w:name w:val="页脚 字符"/>
    <w:basedOn w:val="22"/>
    <w:link w:val="15"/>
    <w:qFormat/>
    <w:uiPriority w:val="99"/>
    <w:rPr>
      <w:kern w:val="2"/>
      <w:sz w:val="18"/>
      <w:szCs w:val="18"/>
    </w:rPr>
  </w:style>
  <w:style w:type="character" w:customStyle="1" w:styleId="48">
    <w:name w:val="font21"/>
    <w:basedOn w:val="22"/>
    <w:qFormat/>
    <w:uiPriority w:val="0"/>
    <w:rPr>
      <w:rFonts w:hint="eastAsia" w:ascii="仿宋" w:hAnsi="仿宋" w:eastAsia="仿宋" w:cs="仿宋"/>
      <w:color w:val="333333"/>
      <w:sz w:val="22"/>
      <w:szCs w:val="22"/>
      <w:u w:val="none"/>
    </w:rPr>
  </w:style>
  <w:style w:type="paragraph" w:customStyle="1" w:styleId="49">
    <w:name w:val="无间隔1"/>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8D9933-D47A-4DB1-B482-1EE28BA6F1D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70</Pages>
  <Words>5295</Words>
  <Characters>30187</Characters>
  <Lines>251</Lines>
  <Paragraphs>70</Paragraphs>
  <TotalTime>107</TotalTime>
  <ScaleCrop>false</ScaleCrop>
  <LinksUpToDate>false</LinksUpToDate>
  <CharactersWithSpaces>35412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2021-10-09T07:49:00Z</dcterms:created>
  <dc:creator>陈凯敏</dc:creator>
  <cp:lastModifiedBy>微信用户</cp:lastModifiedBy>
  <dcterms:modified xsi:type="dcterms:W3CDTF">2022-07-27T09:02:51Z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EE799B9AC54E4758914B3B6E190DEC96</vt:lpwstr>
  </property>
</Properties>
</file>