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cs="宋体"/>
          <w:b/>
          <w:bCs/>
          <w:sz w:val="56"/>
          <w:szCs w:val="56"/>
        </w:rPr>
      </w:pPr>
      <w:bookmarkStart w:id="0" w:name="_Toc28359001"/>
      <w:bookmarkStart w:id="1" w:name="_Toc35393789"/>
      <w:bookmarkStart w:id="2" w:name="_Toc24552"/>
      <w:bookmarkStart w:id="3" w:name="_Toc10464680"/>
      <w:bookmarkStart w:id="4" w:name="_Toc10464681"/>
      <w:bookmarkStart w:id="5" w:name="_Toc288738798"/>
      <w:bookmarkStart w:id="6" w:name="_Toc31405"/>
      <w:bookmarkStart w:id="7" w:name="_Toc288738330"/>
      <w:bookmarkStart w:id="8" w:name="_Toc10464682"/>
      <w:bookmarkStart w:id="9" w:name="_Toc288738804"/>
      <w:bookmarkStart w:id="10" w:name="_Toc288738336"/>
      <w:bookmarkStart w:id="11" w:name="_Toc25873"/>
      <w:bookmarkStart w:id="12" w:name="_Toc288738340"/>
      <w:bookmarkStart w:id="13" w:name="_Toc19194"/>
      <w:bookmarkStart w:id="14" w:name="_Toc10464683"/>
      <w:bookmarkStart w:id="15" w:name="_Toc288738808"/>
      <w:bookmarkStart w:id="16" w:name="_Toc27248"/>
      <w:bookmarkStart w:id="17" w:name="_Toc288738343"/>
      <w:bookmarkStart w:id="18" w:name="_Toc288738811"/>
      <w:bookmarkStart w:id="19" w:name="_Toc10464684"/>
      <w:bookmarkStart w:id="20" w:name="_Toc5935"/>
      <w:bookmarkStart w:id="21" w:name="_Toc288767601"/>
      <w:bookmarkStart w:id="22" w:name="_Toc10464685"/>
      <w:bookmarkStart w:id="23" w:name="_Toc288738391"/>
      <w:bookmarkStart w:id="24" w:name="_Toc288738833"/>
      <w:bookmarkStart w:id="25" w:name="_Toc10464686"/>
      <w:bookmarkStart w:id="26" w:name="_Toc10464687"/>
    </w:p>
    <w:p>
      <w:pPr>
        <w:jc w:val="distribute"/>
        <w:rPr>
          <w:rFonts w:ascii="宋体" w:hAnsi="宋体" w:cs="宋体"/>
          <w:b/>
          <w:bCs/>
          <w:sz w:val="56"/>
          <w:szCs w:val="56"/>
        </w:rPr>
      </w:pPr>
    </w:p>
    <w:p>
      <w:pPr>
        <w:autoSpaceDE w:val="0"/>
        <w:autoSpaceDN w:val="0"/>
        <w:jc w:val="distribute"/>
        <w:rPr>
          <w:rFonts w:hint="eastAsia" w:ascii="宋体" w:hAnsi="宋体" w:cs="宋体"/>
          <w:b/>
          <w:bCs/>
          <w:sz w:val="56"/>
          <w:szCs w:val="56"/>
          <w:lang w:eastAsia="zh-CN"/>
        </w:rPr>
      </w:pPr>
      <w:r>
        <w:rPr>
          <w:rFonts w:hint="eastAsia" w:ascii="宋体" w:hAnsi="宋体" w:cs="宋体"/>
          <w:b/>
          <w:bCs/>
          <w:sz w:val="56"/>
          <w:szCs w:val="56"/>
          <w:lang w:eastAsia="zh-CN"/>
        </w:rPr>
        <w:t>后曹沟复耕工程</w:t>
      </w:r>
    </w:p>
    <w:p>
      <w:pPr>
        <w:pStyle w:val="2"/>
        <w:rPr>
          <w:rFonts w:hint="eastAsia" w:ascii="宋体" w:hAnsi="宋体" w:cs="宋体"/>
          <w:b/>
          <w:bCs/>
          <w:sz w:val="56"/>
          <w:szCs w:val="56"/>
          <w:lang w:eastAsia="zh-CN"/>
        </w:rPr>
      </w:pPr>
    </w:p>
    <w:p>
      <w:pPr>
        <w:pStyle w:val="2"/>
        <w:rPr>
          <w:rFonts w:hint="eastAsia" w:ascii="宋体" w:hAnsi="宋体" w:cs="宋体"/>
          <w:b/>
          <w:bCs/>
          <w:sz w:val="56"/>
          <w:szCs w:val="56"/>
          <w:lang w:eastAsia="zh-CN"/>
        </w:rPr>
      </w:pPr>
    </w:p>
    <w:p>
      <w:pPr>
        <w:autoSpaceDE w:val="0"/>
        <w:autoSpaceDN w:val="0"/>
        <w:jc w:val="center"/>
        <w:rPr>
          <w:rFonts w:ascii="宋体" w:hAnsi="宋体"/>
          <w:b/>
          <w:sz w:val="56"/>
          <w:szCs w:val="36"/>
          <w:lang w:val="zh-CN"/>
        </w:rPr>
      </w:pPr>
      <w:r>
        <w:rPr>
          <w:rFonts w:hint="eastAsia" w:ascii="宋体" w:hAnsi="宋体"/>
          <w:b/>
          <w:sz w:val="56"/>
          <w:szCs w:val="36"/>
        </w:rPr>
        <w:t>竞  争  性  磋  商</w:t>
      </w:r>
      <w:r>
        <w:rPr>
          <w:rFonts w:hint="eastAsia" w:ascii="宋体" w:hAnsi="宋体"/>
          <w:b/>
          <w:sz w:val="56"/>
          <w:szCs w:val="36"/>
          <w:lang w:val="zh-CN"/>
        </w:rPr>
        <w:t xml:space="preserve">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color w:val="000000" w:themeColor="text1"/>
          <w:sz w:val="32"/>
          <w:lang w:eastAsia="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采购项目编号：</w:t>
      </w:r>
      <w:r>
        <w:rPr>
          <w:rFonts w:hint="eastAsia" w:ascii="宋体" w:hAnsi="宋体" w:cs="宋体"/>
          <w:b/>
          <w:color w:val="000000" w:themeColor="text1"/>
          <w:sz w:val="32"/>
          <w:lang w:eastAsia="zh-CN"/>
          <w14:textFill>
            <w14:solidFill>
              <w14:schemeClr w14:val="tx1"/>
            </w14:solidFill>
          </w14:textFill>
        </w:rPr>
        <w:t>CY-CS-2022006</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rPr>
      </w:pPr>
      <w:r>
        <w:rPr>
          <w:rFonts w:hint="eastAsia" w:ascii="宋体" w:hAnsi="宋体" w:cs="宋体"/>
          <w:b/>
          <w:sz w:val="32"/>
          <w:lang w:val="zh-CN"/>
        </w:rPr>
        <w:t>采购项目方式：</w:t>
      </w:r>
      <w:r>
        <w:rPr>
          <w:rFonts w:hint="eastAsia" w:ascii="宋体" w:hAnsi="宋体" w:cs="宋体"/>
          <w:b/>
          <w:sz w:val="32"/>
        </w:rPr>
        <w:t>竞争性磋商</w:t>
      </w:r>
    </w:p>
    <w:p>
      <w:pPr>
        <w:tabs>
          <w:tab w:val="left" w:pos="567"/>
          <w:tab w:val="left" w:pos="851"/>
          <w:tab w:val="left" w:pos="1134"/>
        </w:tabs>
        <w:autoSpaceDE w:val="0"/>
        <w:autoSpaceDN w:val="0"/>
        <w:spacing w:line="360" w:lineRule="auto"/>
        <w:ind w:firstLine="643" w:firstLineChars="200"/>
        <w:jc w:val="left"/>
        <w:rPr>
          <w:rFonts w:hint="eastAsia" w:ascii="宋体" w:hAnsi="宋体" w:cs="宋体"/>
          <w:b/>
          <w:sz w:val="32"/>
          <w:lang w:eastAsia="zh-CN"/>
        </w:rPr>
      </w:pPr>
      <w:r>
        <w:rPr>
          <w:rFonts w:hint="eastAsia" w:ascii="宋体" w:hAnsi="宋体" w:cs="宋体"/>
          <w:b/>
          <w:sz w:val="32"/>
          <w:lang w:val="zh-CN"/>
        </w:rPr>
        <w:t>采购项目名称：</w:t>
      </w:r>
      <w:r>
        <w:rPr>
          <w:rFonts w:hint="eastAsia" w:ascii="宋体" w:hAnsi="宋体" w:cs="宋体"/>
          <w:b/>
          <w:sz w:val="32"/>
          <w:lang w:eastAsia="zh-CN"/>
        </w:rPr>
        <w:t>后曹沟复耕工程</w:t>
      </w:r>
    </w:p>
    <w:p>
      <w:pPr>
        <w:tabs>
          <w:tab w:val="left" w:pos="567"/>
          <w:tab w:val="left" w:pos="851"/>
          <w:tab w:val="left" w:pos="1134"/>
        </w:tabs>
        <w:autoSpaceDE w:val="0"/>
        <w:autoSpaceDN w:val="0"/>
        <w:spacing w:line="360" w:lineRule="auto"/>
        <w:ind w:firstLine="643" w:firstLineChars="200"/>
        <w:jc w:val="left"/>
        <w:rPr>
          <w:rFonts w:ascii="宋体" w:hAnsi="宋体" w:cs="宋体"/>
          <w:b/>
          <w:bCs/>
          <w:kern w:val="24"/>
          <w:sz w:val="32"/>
        </w:rPr>
      </w:pPr>
      <w:r>
        <w:rPr>
          <w:rFonts w:hint="eastAsia" w:ascii="宋体" w:hAnsi="宋体" w:cs="宋体"/>
          <w:b/>
          <w:sz w:val="32"/>
          <w:lang w:val="zh-CN"/>
        </w:rPr>
        <w:t>采   购  人 ：</w:t>
      </w:r>
      <w:r>
        <w:rPr>
          <w:rFonts w:hint="eastAsia" w:ascii="宋体" w:hAnsi="宋体" w:cs="宋体"/>
          <w:b/>
          <w:sz w:val="32"/>
          <w:lang w:val="en-US" w:eastAsia="zh-CN"/>
        </w:rPr>
        <w:t>常州市天宁区青龙街道办事处</w:t>
      </w:r>
      <w:r>
        <w:rPr>
          <w:rFonts w:hint="eastAsia" w:ascii="宋体" w:hAnsi="宋体" w:cs="宋体"/>
          <w:b/>
          <w:sz w:val="32"/>
          <w:lang w:val="zh-CN"/>
        </w:rPr>
        <w:t>（单位盖章）</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代 理 公 司：江苏畅誉项目管理有限公司（单位盖章）</w:t>
      </w:r>
    </w:p>
    <w:p>
      <w:pPr>
        <w:pageBreakBefore/>
        <w:snapToGrid w:val="0"/>
        <w:spacing w:line="360" w:lineRule="auto"/>
        <w:jc w:val="center"/>
        <w:rPr>
          <w:rFonts w:ascii="宋体" w:hAnsi="宋体" w:cs="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20"/>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hint="eastAsia" w:ascii="宋体" w:hAnsi="宋体" w:cs="宋体"/>
                <w:color w:val="auto"/>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hint="eastAsia" w:ascii="宋体" w:hAnsi="宋体" w:cs="宋体"/>
                <w:color w:val="auto"/>
                <w:spacing w:val="2"/>
                <w:sz w:val="24"/>
                <w:u w:val="single"/>
                <w:lang w:val="zh-CN"/>
              </w:rPr>
            </w:pPr>
            <w:r>
              <w:rPr>
                <w:rFonts w:hint="eastAsia" w:ascii="宋体" w:hAnsi="宋体" w:cs="宋体"/>
                <w:color w:val="auto"/>
                <w:spacing w:val="2"/>
                <w:sz w:val="24"/>
                <w:lang w:val="zh-CN"/>
              </w:rPr>
              <w:t>项目名称：</w:t>
            </w:r>
            <w:r>
              <w:rPr>
                <w:rFonts w:hint="eastAsia" w:ascii="宋体" w:hAnsi="宋体" w:cs="宋体"/>
                <w:color w:val="auto"/>
                <w:spacing w:val="2"/>
                <w:sz w:val="24"/>
                <w:u w:val="single"/>
                <w:lang w:val="zh-CN"/>
              </w:rPr>
              <w:t>后曹沟复耕工程</w:t>
            </w:r>
          </w:p>
          <w:p>
            <w:pPr>
              <w:snapToGrid w:val="0"/>
              <w:rPr>
                <w:rFonts w:ascii="宋体" w:hAnsi="宋体" w:cs="宋体"/>
                <w:color w:val="auto"/>
                <w:spacing w:val="2"/>
                <w:sz w:val="24"/>
              </w:rPr>
            </w:pPr>
            <w:r>
              <w:rPr>
                <w:rFonts w:hint="eastAsia" w:ascii="宋体" w:hAnsi="宋体" w:cs="宋体"/>
                <w:color w:val="auto"/>
                <w:spacing w:val="2"/>
                <w:sz w:val="24"/>
                <w:lang w:val="zh-CN"/>
              </w:rPr>
              <w:t>项目编号：</w:t>
            </w:r>
            <w:r>
              <w:rPr>
                <w:rFonts w:hint="eastAsia" w:ascii="宋体" w:hAnsi="宋体" w:cs="宋体"/>
                <w:color w:val="auto"/>
                <w:spacing w:val="2"/>
                <w:sz w:val="24"/>
                <w:u w:val="single"/>
                <w:lang w:eastAsia="zh-CN"/>
              </w:rPr>
              <w:t>CY-CS-2022006</w:t>
            </w:r>
            <w:r>
              <w:rPr>
                <w:rFonts w:hint="eastAsia" w:ascii="宋体" w:hAnsi="宋体" w:cs="宋体"/>
                <w:color w:val="auto"/>
                <w:spacing w:val="2"/>
                <w:sz w:val="24"/>
              </w:rPr>
              <w:t xml:space="preserve"> </w:t>
            </w:r>
          </w:p>
          <w:p>
            <w:pPr>
              <w:snapToGrid w:val="0"/>
              <w:rPr>
                <w:rFonts w:hint="default" w:ascii="宋体" w:hAnsi="宋体" w:eastAsia="宋体" w:cs="宋体"/>
                <w:color w:val="auto"/>
                <w:spacing w:val="2"/>
                <w:sz w:val="24"/>
                <w:lang w:val="en-US" w:eastAsia="zh-CN"/>
              </w:rPr>
            </w:pPr>
            <w:r>
              <w:rPr>
                <w:rFonts w:hint="eastAsia" w:ascii="宋体" w:hAnsi="宋体" w:cs="宋体"/>
                <w:color w:val="auto"/>
                <w:spacing w:val="2"/>
                <w:sz w:val="24"/>
              </w:rPr>
              <w:t>预算金额：</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eastAsia="zh-CN"/>
              </w:rPr>
              <w:t>595098.05</w:t>
            </w:r>
            <w:r>
              <w:rPr>
                <w:rFonts w:hint="eastAsia" w:ascii="宋体" w:hAnsi="宋体" w:cs="宋体"/>
                <w:color w:val="auto"/>
                <w:spacing w:val="2"/>
                <w:sz w:val="24"/>
                <w:u w:val="single"/>
                <w:lang w:val="en-US" w:eastAsia="zh-CN"/>
              </w:rPr>
              <w:t>元</w:t>
            </w:r>
          </w:p>
          <w:p>
            <w:pPr>
              <w:snapToGrid w:val="0"/>
              <w:rPr>
                <w:rFonts w:hint="default" w:ascii="宋体" w:hAnsi="宋体" w:eastAsia="宋体" w:cs="宋体"/>
                <w:color w:val="auto"/>
                <w:spacing w:val="2"/>
                <w:sz w:val="24"/>
                <w:lang w:val="en-US" w:eastAsia="zh-CN"/>
              </w:rPr>
            </w:pPr>
            <w:r>
              <w:rPr>
                <w:rFonts w:hint="eastAsia" w:ascii="宋体" w:hAnsi="宋体" w:cs="宋体"/>
                <w:color w:val="auto"/>
                <w:spacing w:val="2"/>
                <w:sz w:val="24"/>
                <w:lang w:val="zh-CN"/>
              </w:rPr>
              <w:t>最高限价：</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eastAsia="zh-CN"/>
              </w:rPr>
              <w:t>595098.05</w:t>
            </w:r>
            <w:r>
              <w:rPr>
                <w:rFonts w:hint="eastAsia" w:ascii="宋体" w:hAnsi="宋体" w:cs="宋体"/>
                <w:color w:val="auto"/>
                <w:spacing w:val="2"/>
                <w:sz w:val="24"/>
                <w:u w:val="single"/>
                <w:lang w:val="en-US" w:eastAsia="zh-CN"/>
              </w:rPr>
              <w:t>元</w:t>
            </w:r>
          </w:p>
          <w:p>
            <w:pPr>
              <w:snapToGrid w:val="0"/>
              <w:rPr>
                <w:rFonts w:ascii="宋体" w:hAnsi="宋体" w:cs="宋体"/>
                <w:color w:val="000000" w:themeColor="text1"/>
                <w:spacing w:val="2"/>
                <w:sz w:val="24"/>
                <w:u w:val="single"/>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质保期：</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val="en-US" w:eastAsia="zh-CN"/>
                <w14:textFill>
                  <w14:solidFill>
                    <w14:schemeClr w14:val="tx1"/>
                  </w14:solidFill>
                </w14:textFill>
              </w:rPr>
              <w:t xml:space="preserve"> 1 </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val="zh-CN"/>
                <w14:textFill>
                  <w14:solidFill>
                    <w14:schemeClr w14:val="tx1"/>
                  </w14:solidFill>
                </w14:textFill>
              </w:rPr>
              <w:t>年</w:t>
            </w:r>
          </w:p>
          <w:p>
            <w:pPr>
              <w:snapToGrid w:val="0"/>
              <w:rPr>
                <w:rFonts w:ascii="宋体" w:hAnsi="宋体" w:cs="宋体"/>
                <w:color w:val="000000" w:themeColor="text1"/>
                <w:spacing w:val="2"/>
                <w:sz w:val="24"/>
                <w:u w:val="single"/>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工期要求：</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val="en-US" w:eastAsia="zh-CN"/>
                <w14:textFill>
                  <w14:solidFill>
                    <w14:schemeClr w14:val="tx1"/>
                  </w14:solidFill>
                </w14:textFill>
              </w:rPr>
              <w:t xml:space="preserve">20 </w:t>
            </w:r>
            <w:r>
              <w:rPr>
                <w:rFonts w:hint="eastAsia" w:ascii="宋体" w:hAnsi="宋体" w:cs="宋体"/>
                <w:color w:val="000000" w:themeColor="text1"/>
                <w:spacing w:val="2"/>
                <w:sz w:val="24"/>
                <w:u w:val="single"/>
                <w14:textFill>
                  <w14:solidFill>
                    <w14:schemeClr w14:val="tx1"/>
                  </w14:solidFill>
                </w14:textFill>
              </w:rPr>
              <w:t xml:space="preserve">  天</w:t>
            </w:r>
          </w:p>
          <w:p>
            <w:pPr>
              <w:snapToGrid w:val="0"/>
              <w:rPr>
                <w:color w:val="auto"/>
              </w:rPr>
            </w:pPr>
            <w:r>
              <w:rPr>
                <w:rFonts w:hint="eastAsia" w:ascii="宋体" w:hAnsi="宋体" w:cs="宋体"/>
                <w:color w:val="auto"/>
                <w:spacing w:val="2"/>
                <w:sz w:val="24"/>
                <w:lang w:val="zh-CN"/>
              </w:rPr>
              <w:t>质量要求：</w:t>
            </w:r>
            <w:r>
              <w:rPr>
                <w:rFonts w:hint="eastAsia" w:ascii="宋体" w:hAnsi="宋体" w:cs="宋体"/>
                <w:color w:val="auto"/>
                <w:spacing w:val="2"/>
                <w:sz w:val="24"/>
                <w:u w:val="single"/>
                <w:lang w:val="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投标人如对采购文件有疑问，须在投标截止时间3日前将书面询问文件同时提交采购人</w:t>
            </w:r>
            <w:r>
              <w:rPr>
                <w:rFonts w:hint="eastAsia" w:ascii="宋体" w:hAnsi="宋体" w:cs="宋体"/>
                <w:spacing w:val="2"/>
                <w:sz w:val="24"/>
              </w:rPr>
              <w:t>或代理结构</w:t>
            </w:r>
            <w:r>
              <w:rPr>
                <w:rFonts w:hint="eastAsia" w:ascii="宋体" w:hAnsi="宋体" w:cs="宋体"/>
                <w:spacing w:val="2"/>
                <w:sz w:val="24"/>
                <w:lang w:val="zh-CN"/>
              </w:rPr>
              <w:t>。</w:t>
            </w:r>
          </w:p>
          <w:p>
            <w:pPr>
              <w:snapToGrid w:val="0"/>
              <w:rPr>
                <w:rFonts w:hint="eastAsia" w:ascii="宋体" w:hAnsi="宋体" w:cs="宋体"/>
                <w:spacing w:val="2"/>
                <w:sz w:val="24"/>
              </w:rPr>
            </w:pPr>
            <w:r>
              <w:rPr>
                <w:rFonts w:hint="eastAsia" w:ascii="宋体" w:hAnsi="宋体" w:cs="宋体"/>
                <w:spacing w:val="2"/>
                <w:sz w:val="24"/>
              </w:rPr>
              <w:t>采购联系人电话：0519-85508920</w:t>
            </w:r>
          </w:p>
          <w:p>
            <w:pPr>
              <w:snapToGrid w:val="0"/>
              <w:rPr>
                <w:rFonts w:ascii="宋体" w:hAnsi="宋体" w:cs="宋体"/>
                <w:spacing w:val="2"/>
                <w:sz w:val="24"/>
              </w:rPr>
            </w:pPr>
            <w:r>
              <w:rPr>
                <w:rFonts w:hint="eastAsia" w:ascii="宋体" w:hAnsi="宋体" w:cs="宋体"/>
                <w:spacing w:val="2"/>
                <w:sz w:val="24"/>
              </w:rPr>
              <w:t>代理机构联系人：陈樱         电话：15061992993</w:t>
            </w:r>
          </w:p>
          <w:p>
            <w:pPr>
              <w:snapToGrid w:val="0"/>
            </w:pPr>
            <w:r>
              <w:rPr>
                <w:rFonts w:hint="eastAsia" w:ascii="宋体" w:hAnsi="宋体" w:cs="宋体"/>
                <w:spacing w:val="2"/>
                <w:sz w:val="24"/>
              </w:rPr>
              <w:t>地址：常州市天宁区弘智路7号B座3楼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投标文件接收时间：</w:t>
            </w:r>
            <w:r>
              <w:rPr>
                <w:rFonts w:ascii="宋体" w:hAnsi="宋体" w:cs="宋体"/>
                <w:color w:val="000000" w:themeColor="text1"/>
                <w:spacing w:val="2"/>
                <w:sz w:val="24"/>
                <w:lang w:val="zh-CN"/>
                <w14:textFill>
                  <w14:solidFill>
                    <w14:schemeClr w14:val="tx1"/>
                  </w14:solidFill>
                </w14:textFill>
              </w:rPr>
              <w:t>202</w:t>
            </w:r>
            <w:r>
              <w:rPr>
                <w:rFonts w:hint="eastAsia" w:ascii="宋体" w:hAnsi="宋体" w:cs="宋体"/>
                <w:color w:val="000000" w:themeColor="text1"/>
                <w:spacing w:val="2"/>
                <w:sz w:val="24"/>
                <w14:textFill>
                  <w14:solidFill>
                    <w14:schemeClr w14:val="tx1"/>
                  </w14:solidFill>
                </w14:textFill>
              </w:rPr>
              <w:t>2</w:t>
            </w:r>
            <w:r>
              <w:rPr>
                <w:rFonts w:ascii="宋体" w:hAnsi="宋体" w:cs="宋体"/>
                <w:color w:val="000000" w:themeColor="text1"/>
                <w:spacing w:val="2"/>
                <w:sz w:val="24"/>
                <w:lang w:val="zh-CN"/>
                <w14:textFill>
                  <w14:solidFill>
                    <w14:schemeClr w14:val="tx1"/>
                  </w14:solidFill>
                </w14:textFill>
              </w:rPr>
              <w:t>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5</w:t>
            </w:r>
            <w:r>
              <w:rPr>
                <w:rFonts w:hint="eastAsia" w:ascii="宋体" w:hAnsi="宋体" w:cs="宋体"/>
                <w:color w:val="000000" w:themeColor="text1"/>
                <w:spacing w:val="2"/>
                <w:sz w:val="24"/>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14</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30</w:t>
            </w:r>
            <w:r>
              <w:rPr>
                <w:rFonts w:ascii="宋体" w:hAnsi="宋体" w:cs="宋体"/>
                <w:color w:val="000000" w:themeColor="text1"/>
                <w:spacing w:val="2"/>
                <w:sz w:val="24"/>
                <w:lang w:val="zh-CN"/>
                <w14:textFill>
                  <w14:solidFill>
                    <w14:schemeClr w14:val="tx1"/>
                  </w14:solidFill>
                </w14:textFill>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投标文件提交截止时间：</w:t>
            </w:r>
            <w:r>
              <w:rPr>
                <w:rFonts w:ascii="宋体" w:hAnsi="宋体" w:cs="宋体"/>
                <w:color w:val="000000" w:themeColor="text1"/>
                <w:spacing w:val="2"/>
                <w:sz w:val="24"/>
                <w:lang w:val="zh-CN"/>
                <w14:textFill>
                  <w14:solidFill>
                    <w14:schemeClr w14:val="tx1"/>
                  </w14:solidFill>
                </w14:textFill>
              </w:rPr>
              <w:t>202</w:t>
            </w:r>
            <w:r>
              <w:rPr>
                <w:rFonts w:hint="eastAsia" w:ascii="宋体" w:hAnsi="宋体" w:cs="宋体"/>
                <w:color w:val="000000" w:themeColor="text1"/>
                <w:spacing w:val="2"/>
                <w:sz w:val="24"/>
                <w14:textFill>
                  <w14:solidFill>
                    <w14:schemeClr w14:val="tx1"/>
                  </w14:solidFill>
                </w14:textFill>
              </w:rPr>
              <w:t>2</w:t>
            </w:r>
            <w:r>
              <w:rPr>
                <w:rFonts w:ascii="宋体" w:hAnsi="宋体" w:cs="宋体"/>
                <w:color w:val="000000" w:themeColor="text1"/>
                <w:spacing w:val="2"/>
                <w:sz w:val="24"/>
                <w:lang w:val="zh-CN"/>
                <w14:textFill>
                  <w14:solidFill>
                    <w14:schemeClr w14:val="tx1"/>
                  </w14:solidFill>
                </w14:textFill>
              </w:rPr>
              <w:t>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5</w:t>
            </w:r>
            <w:r>
              <w:rPr>
                <w:rFonts w:hint="eastAsia" w:ascii="宋体" w:hAnsi="宋体" w:cs="宋体"/>
                <w:color w:val="000000" w:themeColor="text1"/>
                <w:spacing w:val="2"/>
                <w:sz w:val="24"/>
                <w14:textFill>
                  <w14:solidFill>
                    <w14:schemeClr w14:val="tx1"/>
                  </w14:solidFill>
                </w14:textFill>
              </w:rPr>
              <w:t>日</w:t>
            </w:r>
            <w:r>
              <w:rPr>
                <w:rFonts w:ascii="宋体" w:hAnsi="宋体" w:cs="宋体"/>
                <w:color w:val="000000" w:themeColor="text1"/>
                <w:spacing w:val="2"/>
                <w:sz w:val="24"/>
                <w:lang w:val="zh-CN"/>
                <w14:textFill>
                  <w14:solidFill>
                    <w14:schemeClr w14:val="tx1"/>
                  </w14:solidFill>
                </w14:textFill>
              </w:rPr>
              <w:t xml:space="preserve"> </w:t>
            </w:r>
            <w:r>
              <w:rPr>
                <w:rFonts w:hint="eastAsia" w:ascii="宋体" w:hAnsi="宋体" w:cs="宋体"/>
                <w:color w:val="000000" w:themeColor="text1"/>
                <w:spacing w:val="2"/>
                <w:sz w:val="24"/>
                <w:lang w:val="en-US" w:eastAsia="zh-CN"/>
                <w14:textFill>
                  <w14:solidFill>
                    <w14:schemeClr w14:val="tx1"/>
                  </w14:solidFill>
                </w14:textFill>
              </w:rPr>
              <w:t>15</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00</w:t>
            </w:r>
            <w:r>
              <w:rPr>
                <w:rFonts w:ascii="宋体" w:hAnsi="宋体" w:cs="宋体"/>
                <w:color w:val="000000" w:themeColor="text1"/>
                <w:spacing w:val="2"/>
                <w:sz w:val="24"/>
                <w:lang w:val="zh-CN"/>
                <w14:textFill>
                  <w14:solidFill>
                    <w14:schemeClr w14:val="tx1"/>
                  </w14:solidFill>
                </w14:textFill>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投标文件提交地点：江苏畅誉项目管理有限公司</w:t>
            </w:r>
          </w:p>
          <w:p>
            <w:pPr>
              <w:snapToGrid w:val="0"/>
              <w:spacing w:line="560" w:lineRule="exact"/>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地址：</w:t>
            </w:r>
            <w:r>
              <w:rPr>
                <w:rFonts w:hint="eastAsia" w:ascii="宋体" w:hAnsi="宋体" w:cs="宋体"/>
                <w:color w:val="000000" w:themeColor="text1"/>
                <w:spacing w:val="2"/>
                <w:sz w:val="24"/>
                <w14:textFill>
                  <w14:solidFill>
                    <w14:schemeClr w14:val="tx1"/>
                  </w14:solidFill>
                </w14:textFill>
              </w:rPr>
              <w:t>常州市天宁区弘智路7号B座3楼</w:t>
            </w:r>
          </w:p>
          <w:p>
            <w:pPr>
              <w:snapToGrid w:val="0"/>
              <w:spacing w:line="560" w:lineRule="exact"/>
              <w:rPr>
                <w:rFonts w:ascii="宋体" w:hAnsi="宋体" w:cs="宋体"/>
                <w:color w:val="000000" w:themeColor="text1"/>
                <w:spacing w:val="2"/>
                <w:sz w:val="24"/>
                <w:lang w:val="zh-CN"/>
                <w14:textFill>
                  <w14:solidFill>
                    <w14:schemeClr w14:val="tx1"/>
                  </w14:solidFill>
                </w14:textFill>
              </w:rPr>
            </w:pPr>
          </w:p>
          <w:p>
            <w:pPr>
              <w:snapToGrid w:val="0"/>
              <w:spacing w:line="560" w:lineRule="exact"/>
              <w:rPr>
                <w:rFonts w:ascii="宋体" w:hAnsi="宋体" w:cs="宋体"/>
                <w:color w:val="000000" w:themeColor="text1"/>
                <w:spacing w:val="2"/>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开标时间：</w:t>
            </w:r>
            <w:r>
              <w:rPr>
                <w:rFonts w:ascii="宋体" w:hAnsi="宋体" w:cs="宋体"/>
                <w:color w:val="000000" w:themeColor="text1"/>
                <w:spacing w:val="2"/>
                <w:sz w:val="24"/>
                <w:lang w:val="zh-CN"/>
                <w14:textFill>
                  <w14:solidFill>
                    <w14:schemeClr w14:val="tx1"/>
                  </w14:solidFill>
                </w14:textFill>
              </w:rPr>
              <w:t>202</w:t>
            </w:r>
            <w:r>
              <w:rPr>
                <w:rFonts w:hint="eastAsia" w:ascii="宋体" w:hAnsi="宋体" w:cs="宋体"/>
                <w:color w:val="000000" w:themeColor="text1"/>
                <w:spacing w:val="2"/>
                <w:sz w:val="24"/>
                <w14:textFill>
                  <w14:solidFill>
                    <w14:schemeClr w14:val="tx1"/>
                  </w14:solidFill>
                </w14:textFill>
              </w:rPr>
              <w:t>2</w:t>
            </w:r>
            <w:r>
              <w:rPr>
                <w:rFonts w:ascii="宋体" w:hAnsi="宋体" w:cs="宋体"/>
                <w:color w:val="000000" w:themeColor="text1"/>
                <w:spacing w:val="2"/>
                <w:sz w:val="24"/>
                <w:lang w:val="zh-CN"/>
                <w14:textFill>
                  <w14:solidFill>
                    <w14:schemeClr w14:val="tx1"/>
                  </w14:solidFill>
                </w14:textFill>
              </w:rPr>
              <w:t>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5</w:t>
            </w:r>
            <w:r>
              <w:rPr>
                <w:rFonts w:hint="eastAsia" w:ascii="宋体" w:hAnsi="宋体" w:cs="宋体"/>
                <w:color w:val="000000" w:themeColor="text1"/>
                <w:spacing w:val="2"/>
                <w:sz w:val="24"/>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15</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00</w:t>
            </w:r>
            <w:r>
              <w:rPr>
                <w:rFonts w:ascii="宋体" w:hAnsi="宋体" w:cs="宋体"/>
                <w:color w:val="000000" w:themeColor="text1"/>
                <w:spacing w:val="2"/>
                <w:sz w:val="24"/>
                <w:lang w:val="zh-CN"/>
                <w14:textFill>
                  <w14:solidFill>
                    <w14:schemeClr w14:val="tx1"/>
                  </w14:solidFill>
                </w14:textFill>
              </w:rPr>
              <w:t>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　　点：</w:t>
            </w:r>
            <w:r>
              <w:rPr>
                <w:rFonts w:hint="eastAsia" w:ascii="宋体" w:hAnsi="宋体" w:cs="宋体"/>
                <w:color w:val="000000" w:themeColor="text1"/>
                <w:spacing w:val="2"/>
                <w:sz w:val="24"/>
                <w14:textFill>
                  <w14:solidFill>
                    <w14:schemeClr w14:val="tx1"/>
                  </w14:solidFill>
                </w14:textFill>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投标有效期：</w:t>
            </w:r>
            <w:r>
              <w:rPr>
                <w:rFonts w:hint="eastAsia" w:ascii="宋体" w:hAnsi="宋体" w:cs="宋体"/>
                <w:color w:val="000000" w:themeColor="text1"/>
                <w:sz w:val="24"/>
                <w:shd w:val="clear" w:color="auto" w:fill="FFFFFF"/>
                <w14:textFill>
                  <w14:solidFill>
                    <w14:schemeClr w14:val="tx1"/>
                  </w14:solidFill>
                </w14:textFill>
              </w:rPr>
              <w:t>从提交投标文件的截止之日起</w:t>
            </w:r>
            <w:r>
              <w:rPr>
                <w:rFonts w:hint="eastAsia" w:ascii="宋体" w:hAnsi="宋体" w:cs="宋体"/>
                <w:color w:val="000000" w:themeColor="text1"/>
                <w:sz w:val="24"/>
                <w:u w:val="single"/>
                <w:shd w:val="clear" w:color="auto" w:fill="FFFFFF"/>
                <w14:textFill>
                  <w14:solidFill>
                    <w14:schemeClr w14:val="tx1"/>
                  </w14:solidFill>
                </w14:textFill>
              </w:rPr>
              <w:t>60</w:t>
            </w:r>
            <w:r>
              <w:rPr>
                <w:rFonts w:hint="eastAsia" w:ascii="宋体" w:hAnsi="宋体" w:cs="宋体"/>
                <w:color w:val="000000" w:themeColor="text1"/>
                <w:sz w:val="24"/>
                <w:shd w:val="clear" w:color="auto" w:fill="FFFFFF"/>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投标人信用信息查询渠道:</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信用中国网站（</w:t>
            </w:r>
            <w:r>
              <w:rPr>
                <w:color w:val="000000" w:themeColor="text1"/>
                <w:spacing w:val="2"/>
                <w:sz w:val="24"/>
                <w:lang w:val="zh-CN"/>
                <w14:textFill>
                  <w14:solidFill>
                    <w14:schemeClr w14:val="tx1"/>
                  </w14:solidFill>
                </w14:textFill>
              </w:rPr>
              <w:t>www.creditchina.gov.cn</w:t>
            </w:r>
            <w:r>
              <w:rPr>
                <w:rFonts w:hint="eastAsia" w:ascii="宋体" w:hAnsi="宋体" w:cs="宋体"/>
                <w:color w:val="000000" w:themeColor="text1"/>
                <w:spacing w:val="2"/>
                <w:sz w:val="24"/>
                <w:lang w:val="zh-CN"/>
                <w14:textFill>
                  <w14:solidFill>
                    <w14:schemeClr w14:val="tx1"/>
                  </w14:solidFill>
                </w14:textFill>
              </w:rPr>
              <w:t>）、中国政府采购网（</w:t>
            </w:r>
            <w:r>
              <w:rPr>
                <w:color w:val="000000" w:themeColor="text1"/>
                <w:spacing w:val="2"/>
                <w:sz w:val="24"/>
                <w:lang w:val="zh-CN"/>
                <w14:textFill>
                  <w14:solidFill>
                    <w14:schemeClr w14:val="tx1"/>
                  </w14:solidFill>
                </w14:textFill>
              </w:rPr>
              <w:t>www.ccgp.gov.cn</w:t>
            </w:r>
            <w:r>
              <w:rPr>
                <w:rFonts w:hint="eastAsia" w:ascii="宋体" w:hAnsi="宋体" w:cs="宋体"/>
                <w:color w:val="000000" w:themeColor="text1"/>
                <w:spacing w:val="2"/>
                <w:sz w:val="24"/>
                <w:lang w:val="zh-CN"/>
                <w14:textFill>
                  <w14:solidFill>
                    <w14:schemeClr w14:val="tx1"/>
                  </w14:solidFill>
                </w14:textFill>
              </w:rPr>
              <w:t>）</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查询截止时点:投标文件提交截止时间</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查询结果将以网页打印的形式留存并归档。</w:t>
            </w:r>
          </w:p>
          <w:p>
            <w:pPr>
              <w:rPr>
                <w:rFonts w:ascii="宋体" w:hAnsi="宋体" w:cs="宋体"/>
                <w:color w:val="000000" w:themeColor="text1"/>
                <w:sz w:val="24"/>
                <w:lang w:val="zh-CN"/>
                <w14:textFill>
                  <w14:solidFill>
                    <w14:schemeClr w14:val="tx1"/>
                  </w14:solidFill>
                </w14:textFill>
              </w:rPr>
            </w:pPr>
          </w:p>
          <w:p>
            <w:pPr>
              <w:rPr>
                <w:rFonts w:ascii="宋体" w:hAnsi="宋体" w:cs="宋体"/>
                <w:color w:val="000000" w:themeColor="text1"/>
                <w:sz w:val="24"/>
                <w:lang w:val="zh-CN"/>
                <w14:textFill>
                  <w14:solidFill>
                    <w14:schemeClr w14:val="tx1"/>
                  </w14:solidFill>
                </w14:textFill>
              </w:rPr>
            </w:pPr>
          </w:p>
          <w:p>
            <w:pPr>
              <w:rPr>
                <w:rFonts w:ascii="宋体" w:hAnsi="宋体" w:cs="宋体"/>
                <w:color w:val="000000" w:themeColor="text1"/>
                <w:sz w:val="24"/>
                <w:lang w:val="zh-CN"/>
                <w14:textFill>
                  <w14:solidFill>
                    <w14:schemeClr w14:val="tx1"/>
                  </w14:solidFill>
                </w14:textFill>
              </w:rPr>
            </w:pPr>
          </w:p>
          <w:p>
            <w:pPr>
              <w:rPr>
                <w:rFonts w:ascii="宋体" w:hAnsi="宋体" w:cs="宋体"/>
                <w:color w:val="000000" w:themeColor="text1"/>
                <w:spacing w:val="2"/>
                <w:sz w:val="24"/>
                <w:lang w:val="zh-CN"/>
                <w14:textFill>
                  <w14:solidFill>
                    <w14:schemeClr w14:val="tx1"/>
                  </w14:solidFill>
                </w14:textFill>
              </w:rPr>
            </w:pPr>
          </w:p>
          <w:p>
            <w:pPr>
              <w:rPr>
                <w:rFonts w:ascii="宋体" w:hAnsi="宋体" w:cs="宋体"/>
                <w:color w:val="000000" w:themeColor="text1"/>
                <w:sz w:val="24"/>
                <w:lang w:val="zh-CN"/>
                <w14:textFill>
                  <w14:solidFill>
                    <w14:schemeClr w14:val="tx1"/>
                  </w14:solidFill>
                </w14:textFill>
              </w:rPr>
            </w:pP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7"/>
        <w:tabs>
          <w:tab w:val="right" w:leader="dot" w:pos="8296"/>
        </w:tabs>
        <w:rPr>
          <w:sz w:val="44"/>
          <w:szCs w:val="44"/>
        </w:rPr>
      </w:pPr>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 TOC \o "1-1" \h \z \u </w:instrText>
      </w:r>
      <w:r>
        <w:rPr>
          <w:rFonts w:hint="eastAsia" w:ascii="黑体" w:hAnsi="黑体" w:eastAsia="黑体" w:cs="黑体"/>
          <w:b w:val="0"/>
          <w:sz w:val="44"/>
          <w:szCs w:val="44"/>
        </w:rPr>
        <w:fldChar w:fldCharType="separate"/>
      </w:r>
      <w:r>
        <w:fldChar w:fldCharType="begin"/>
      </w:r>
      <w:r>
        <w:instrText xml:space="preserve"> HYPERLINK \l "_Toc10464679" </w:instrText>
      </w:r>
      <w:r>
        <w:fldChar w:fldCharType="separate"/>
      </w:r>
      <w:r>
        <w:rPr>
          <w:rStyle w:val="23"/>
          <w:rFonts w:hint="eastAsia" w:ascii="黑体" w:hAnsi="黑体" w:cs="黑体"/>
          <w:color w:val="auto"/>
          <w:sz w:val="44"/>
          <w:szCs w:val="44"/>
        </w:rPr>
        <w:t>招标公告</w:t>
      </w:r>
      <w:r>
        <w:rPr>
          <w:sz w:val="44"/>
          <w:szCs w:val="44"/>
        </w:rPr>
        <w:tab/>
      </w:r>
      <w:r>
        <w:rPr>
          <w:sz w:val="44"/>
          <w:szCs w:val="44"/>
        </w:rPr>
        <w:fldChar w:fldCharType="end"/>
      </w:r>
      <w:r>
        <w:rPr>
          <w:rFonts w:hint="eastAsia"/>
          <w:sz w:val="44"/>
          <w:szCs w:val="44"/>
        </w:rPr>
        <w:t>...</w:t>
      </w:r>
      <w:r>
        <w:rPr>
          <w:sz w:val="44"/>
          <w:szCs w:val="44"/>
        </w:rPr>
        <w:t>3</w:t>
      </w:r>
    </w:p>
    <w:p/>
    <w:p>
      <w:pPr>
        <w:pStyle w:val="17"/>
        <w:tabs>
          <w:tab w:val="right" w:leader="dot" w:pos="8296"/>
        </w:tabs>
        <w:rPr>
          <w:sz w:val="44"/>
          <w:szCs w:val="44"/>
        </w:rPr>
      </w:pPr>
      <w:r>
        <w:fldChar w:fldCharType="begin"/>
      </w:r>
      <w:r>
        <w:instrText xml:space="preserve"> HYPERLINK \l "_Toc10464680" </w:instrText>
      </w:r>
      <w:r>
        <w:fldChar w:fldCharType="separate"/>
      </w:r>
      <w:r>
        <w:rPr>
          <w:rStyle w:val="23"/>
          <w:rFonts w:hint="eastAsia" w:ascii="黑体" w:hAnsi="黑体" w:cs="黑体"/>
          <w:color w:val="auto"/>
          <w:sz w:val="44"/>
          <w:szCs w:val="44"/>
        </w:rPr>
        <w:t>第一章</w:t>
      </w:r>
      <w:r>
        <w:rPr>
          <w:rStyle w:val="23"/>
          <w:rFonts w:ascii="黑体" w:hAnsi="黑体" w:cs="黑体"/>
          <w:color w:val="auto"/>
          <w:sz w:val="44"/>
          <w:szCs w:val="44"/>
        </w:rPr>
        <w:t xml:space="preserve"> </w:t>
      </w:r>
      <w:r>
        <w:rPr>
          <w:rStyle w:val="23"/>
          <w:rFonts w:hint="eastAsia" w:ascii="黑体" w:hAnsi="黑体" w:cs="黑体"/>
          <w:color w:val="auto"/>
          <w:sz w:val="44"/>
          <w:szCs w:val="44"/>
        </w:rPr>
        <w:t xml:space="preserve">总  </w:t>
      </w:r>
      <w:r>
        <w:rPr>
          <w:rStyle w:val="23"/>
          <w:rFonts w:ascii="黑体" w:hAnsi="黑体" w:cs="黑体"/>
          <w:color w:val="auto"/>
          <w:sz w:val="44"/>
          <w:szCs w:val="44"/>
        </w:rPr>
        <w:t xml:space="preserve"> </w:t>
      </w:r>
      <w:r>
        <w:rPr>
          <w:rStyle w:val="23"/>
          <w:rFonts w:hint="eastAsia" w:ascii="黑体" w:hAnsi="黑体" w:cs="黑体"/>
          <w:color w:val="auto"/>
          <w:sz w:val="44"/>
          <w:szCs w:val="44"/>
        </w:rPr>
        <w:t>则</w:t>
      </w:r>
      <w:r>
        <w:rPr>
          <w:sz w:val="44"/>
          <w:szCs w:val="44"/>
        </w:rPr>
        <w:tab/>
      </w:r>
      <w:r>
        <w:rPr>
          <w:rFonts w:hint="eastAsia"/>
          <w:sz w:val="44"/>
          <w:szCs w:val="44"/>
        </w:rPr>
        <w:t>6</w:t>
      </w:r>
      <w:r>
        <w:rPr>
          <w:rFonts w:hint="eastAsia"/>
          <w:sz w:val="44"/>
          <w:szCs w:val="44"/>
        </w:rPr>
        <w:fldChar w:fldCharType="end"/>
      </w:r>
    </w:p>
    <w:p/>
    <w:p>
      <w:pPr>
        <w:pStyle w:val="17"/>
        <w:tabs>
          <w:tab w:val="right" w:leader="dot" w:pos="8296"/>
        </w:tabs>
        <w:rPr>
          <w:sz w:val="44"/>
          <w:szCs w:val="44"/>
        </w:rPr>
      </w:pPr>
      <w:r>
        <w:fldChar w:fldCharType="begin"/>
      </w:r>
      <w:r>
        <w:instrText xml:space="preserve"> HYPERLINK \l "_Toc10464681" </w:instrText>
      </w:r>
      <w:r>
        <w:fldChar w:fldCharType="separate"/>
      </w:r>
      <w:r>
        <w:rPr>
          <w:rStyle w:val="23"/>
          <w:rFonts w:hint="eastAsia" w:ascii="黑体" w:hAnsi="黑体" w:cs="黑体"/>
          <w:snapToGrid w:val="0"/>
          <w:color w:val="auto"/>
          <w:spacing w:val="-6"/>
          <w:sz w:val="44"/>
          <w:szCs w:val="44"/>
        </w:rPr>
        <w:t>第二章</w:t>
      </w:r>
      <w:r>
        <w:rPr>
          <w:rStyle w:val="23"/>
          <w:rFonts w:ascii="黑体" w:hAnsi="黑体" w:cs="黑体"/>
          <w:snapToGrid w:val="0"/>
          <w:color w:val="auto"/>
          <w:spacing w:val="-6"/>
          <w:sz w:val="44"/>
          <w:szCs w:val="44"/>
        </w:rPr>
        <w:t xml:space="preserve"> </w:t>
      </w:r>
      <w:r>
        <w:rPr>
          <w:rStyle w:val="23"/>
          <w:rFonts w:hint="eastAsia" w:ascii="黑体" w:hAnsi="黑体" w:cs="黑体"/>
          <w:snapToGrid w:val="0"/>
          <w:color w:val="auto"/>
          <w:spacing w:val="-6"/>
          <w:sz w:val="44"/>
          <w:szCs w:val="44"/>
        </w:rPr>
        <w:t>投标文件</w:t>
      </w:r>
      <w:r>
        <w:rPr>
          <w:sz w:val="44"/>
          <w:szCs w:val="44"/>
        </w:rPr>
        <w:tab/>
      </w:r>
      <w:r>
        <w:rPr>
          <w:rFonts w:hint="eastAsia"/>
          <w:sz w:val="44"/>
          <w:szCs w:val="44"/>
        </w:rPr>
        <w:t>.</w:t>
      </w:r>
      <w:r>
        <w:rPr>
          <w:rFonts w:hint="eastAsia"/>
          <w:sz w:val="44"/>
          <w:szCs w:val="44"/>
        </w:rPr>
        <w:fldChar w:fldCharType="end"/>
      </w:r>
      <w:r>
        <w:rPr>
          <w:rFonts w:hint="eastAsia"/>
          <w:sz w:val="44"/>
          <w:szCs w:val="44"/>
        </w:rPr>
        <w:t>8</w:t>
      </w:r>
    </w:p>
    <w:p/>
    <w:p>
      <w:pPr>
        <w:pStyle w:val="17"/>
        <w:tabs>
          <w:tab w:val="right" w:leader="dot" w:pos="8296"/>
        </w:tabs>
        <w:rPr>
          <w:sz w:val="44"/>
          <w:szCs w:val="44"/>
        </w:rPr>
      </w:pPr>
      <w:r>
        <w:fldChar w:fldCharType="begin"/>
      </w:r>
      <w:r>
        <w:instrText xml:space="preserve"> HYPERLINK \l "_Toc10464682" </w:instrText>
      </w:r>
      <w:r>
        <w:fldChar w:fldCharType="separate"/>
      </w:r>
      <w:r>
        <w:rPr>
          <w:rStyle w:val="23"/>
          <w:rFonts w:hint="eastAsia" w:ascii="黑体" w:hAnsi="黑体" w:cs="黑体"/>
          <w:snapToGrid w:val="0"/>
          <w:color w:val="auto"/>
          <w:spacing w:val="-6"/>
          <w:sz w:val="44"/>
          <w:szCs w:val="44"/>
        </w:rPr>
        <w:t>第三章</w:t>
      </w:r>
      <w:r>
        <w:rPr>
          <w:rStyle w:val="23"/>
          <w:rFonts w:ascii="黑体" w:hAnsi="黑体" w:cs="黑体"/>
          <w:snapToGrid w:val="0"/>
          <w:color w:val="auto"/>
          <w:spacing w:val="-6"/>
          <w:sz w:val="44"/>
          <w:szCs w:val="44"/>
        </w:rPr>
        <w:t xml:space="preserve"> </w:t>
      </w:r>
      <w:r>
        <w:rPr>
          <w:rStyle w:val="23"/>
          <w:rFonts w:hint="eastAsia" w:ascii="黑体" w:hAnsi="黑体" w:cs="黑体"/>
          <w:snapToGrid w:val="0"/>
          <w:color w:val="auto"/>
          <w:spacing w:val="-6"/>
          <w:sz w:val="44"/>
          <w:szCs w:val="44"/>
        </w:rPr>
        <w:t>投标文件密封和提交</w:t>
      </w:r>
      <w:r>
        <w:rPr>
          <w:sz w:val="44"/>
          <w:szCs w:val="44"/>
        </w:rPr>
        <w:tab/>
      </w:r>
      <w:r>
        <w:rPr>
          <w:rFonts w:hint="eastAsia"/>
          <w:sz w:val="44"/>
          <w:szCs w:val="44"/>
        </w:rPr>
        <w:t>1</w:t>
      </w:r>
      <w:r>
        <w:rPr>
          <w:rFonts w:hint="eastAsia"/>
          <w:sz w:val="44"/>
          <w:szCs w:val="44"/>
        </w:rPr>
        <w:fldChar w:fldCharType="end"/>
      </w:r>
      <w:r>
        <w:rPr>
          <w:rFonts w:hint="eastAsia"/>
          <w:sz w:val="44"/>
          <w:szCs w:val="44"/>
        </w:rPr>
        <w:t>0</w:t>
      </w:r>
    </w:p>
    <w:p/>
    <w:p>
      <w:pPr>
        <w:pStyle w:val="17"/>
        <w:tabs>
          <w:tab w:val="right" w:leader="dot" w:pos="8296"/>
        </w:tabs>
        <w:rPr>
          <w:sz w:val="44"/>
          <w:szCs w:val="44"/>
        </w:rPr>
      </w:pPr>
      <w:r>
        <w:fldChar w:fldCharType="begin"/>
      </w:r>
      <w:r>
        <w:instrText xml:space="preserve"> HYPERLINK \l "_Toc10464683" </w:instrText>
      </w:r>
      <w:r>
        <w:fldChar w:fldCharType="separate"/>
      </w:r>
      <w:r>
        <w:rPr>
          <w:rStyle w:val="23"/>
          <w:rFonts w:hint="eastAsia" w:ascii="黑体" w:hAnsi="黑体" w:cs="黑体"/>
          <w:color w:val="auto"/>
          <w:sz w:val="44"/>
          <w:szCs w:val="44"/>
        </w:rPr>
        <w:t>第四章</w:t>
      </w:r>
      <w:r>
        <w:rPr>
          <w:rStyle w:val="23"/>
          <w:rFonts w:ascii="黑体" w:hAnsi="黑体" w:cs="黑体"/>
          <w:color w:val="auto"/>
          <w:sz w:val="44"/>
          <w:szCs w:val="44"/>
        </w:rPr>
        <w:t xml:space="preserve"> </w:t>
      </w:r>
      <w:r>
        <w:rPr>
          <w:rStyle w:val="23"/>
          <w:rFonts w:hint="eastAsia" w:ascii="黑体" w:hAnsi="黑体" w:cs="黑体"/>
          <w:color w:val="auto"/>
          <w:sz w:val="44"/>
          <w:szCs w:val="44"/>
        </w:rPr>
        <w:t>投标报价</w:t>
      </w:r>
      <w:r>
        <w:rPr>
          <w:sz w:val="44"/>
          <w:szCs w:val="44"/>
        </w:rPr>
        <w:tab/>
      </w:r>
      <w:r>
        <w:rPr>
          <w:sz w:val="44"/>
          <w:szCs w:val="44"/>
        </w:rPr>
        <w:t>1</w:t>
      </w:r>
      <w:r>
        <w:rPr>
          <w:rFonts w:hint="eastAsia"/>
          <w:sz w:val="44"/>
          <w:szCs w:val="44"/>
        </w:rPr>
        <w:t>1</w:t>
      </w:r>
      <w:r>
        <w:rPr>
          <w:rFonts w:hint="eastAsia"/>
          <w:sz w:val="44"/>
          <w:szCs w:val="44"/>
        </w:rPr>
        <w:fldChar w:fldCharType="end"/>
      </w:r>
    </w:p>
    <w:p/>
    <w:p>
      <w:pPr>
        <w:pStyle w:val="17"/>
        <w:tabs>
          <w:tab w:val="right" w:leader="dot" w:pos="8296"/>
        </w:tabs>
        <w:rPr>
          <w:sz w:val="44"/>
          <w:szCs w:val="44"/>
        </w:rPr>
      </w:pPr>
      <w:r>
        <w:fldChar w:fldCharType="begin"/>
      </w:r>
      <w:r>
        <w:instrText xml:space="preserve"> HYPERLINK \l "_Toc10464684" </w:instrText>
      </w:r>
      <w:r>
        <w:fldChar w:fldCharType="separate"/>
      </w:r>
      <w:r>
        <w:rPr>
          <w:rStyle w:val="23"/>
          <w:rFonts w:hint="eastAsia" w:ascii="黑体" w:hAnsi="黑体" w:cs="黑体"/>
          <w:color w:val="auto"/>
          <w:sz w:val="44"/>
          <w:szCs w:val="44"/>
        </w:rPr>
        <w:t>第五章 开标、评标、定标</w:t>
      </w:r>
      <w:r>
        <w:rPr>
          <w:sz w:val="44"/>
          <w:szCs w:val="44"/>
        </w:rPr>
        <w:tab/>
      </w:r>
      <w:r>
        <w:rPr>
          <w:sz w:val="44"/>
          <w:szCs w:val="44"/>
        </w:rPr>
        <w:t>1</w:t>
      </w:r>
      <w:r>
        <w:rPr>
          <w:rFonts w:hint="eastAsia"/>
          <w:sz w:val="44"/>
          <w:szCs w:val="44"/>
        </w:rPr>
        <w:t>3</w:t>
      </w:r>
      <w:r>
        <w:rPr>
          <w:rFonts w:hint="eastAsia"/>
          <w:sz w:val="44"/>
          <w:szCs w:val="44"/>
        </w:rPr>
        <w:fldChar w:fldCharType="end"/>
      </w:r>
      <w:r>
        <w:rPr>
          <w:rFonts w:hint="eastAsia"/>
          <w:sz w:val="44"/>
          <w:szCs w:val="44"/>
        </w:rPr>
        <w:t xml:space="preserve"> </w:t>
      </w:r>
    </w:p>
    <w:p/>
    <w:p>
      <w:pPr>
        <w:pStyle w:val="17"/>
        <w:tabs>
          <w:tab w:val="right" w:leader="dot" w:pos="8296"/>
        </w:tabs>
        <w:rPr>
          <w:rFonts w:hint="eastAsia" w:eastAsia="宋体"/>
          <w:sz w:val="44"/>
          <w:szCs w:val="44"/>
          <w:lang w:eastAsia="zh-CN"/>
        </w:rPr>
      </w:pPr>
      <w:r>
        <w:fldChar w:fldCharType="begin"/>
      </w:r>
      <w:r>
        <w:instrText xml:space="preserve"> HYPERLINK \l "_Toc10464685" </w:instrText>
      </w:r>
      <w:r>
        <w:fldChar w:fldCharType="separate"/>
      </w:r>
      <w:r>
        <w:rPr>
          <w:rStyle w:val="23"/>
          <w:rFonts w:hint="eastAsia" w:ascii="黑体" w:hAnsi="黑体" w:cs="黑体"/>
          <w:color w:val="auto"/>
          <w:sz w:val="44"/>
          <w:szCs w:val="44"/>
        </w:rPr>
        <w:t>第六章</w:t>
      </w:r>
      <w:r>
        <w:rPr>
          <w:rStyle w:val="23"/>
          <w:rFonts w:ascii="黑体" w:hAnsi="黑体" w:cs="黑体"/>
          <w:color w:val="auto"/>
          <w:sz w:val="44"/>
          <w:szCs w:val="44"/>
        </w:rPr>
        <w:t xml:space="preserve"> </w:t>
      </w:r>
      <w:r>
        <w:rPr>
          <w:rStyle w:val="23"/>
          <w:rFonts w:hint="eastAsia" w:ascii="黑体" w:hAnsi="黑体" w:cs="黑体"/>
          <w:color w:val="auto"/>
          <w:sz w:val="44"/>
          <w:szCs w:val="44"/>
        </w:rPr>
        <w:t>格式附表</w:t>
      </w:r>
      <w:r>
        <w:rPr>
          <w:sz w:val="44"/>
          <w:szCs w:val="44"/>
        </w:rPr>
        <w:tab/>
      </w:r>
      <w:r>
        <w:rPr>
          <w:rFonts w:hint="eastAsia"/>
          <w:sz w:val="44"/>
          <w:szCs w:val="44"/>
        </w:rPr>
        <w:t>2</w:t>
      </w:r>
      <w:r>
        <w:rPr>
          <w:rFonts w:hint="eastAsia"/>
          <w:sz w:val="44"/>
          <w:szCs w:val="44"/>
        </w:rPr>
        <w:fldChar w:fldCharType="end"/>
      </w:r>
      <w:r>
        <w:rPr>
          <w:rFonts w:hint="eastAsia"/>
          <w:sz w:val="44"/>
          <w:szCs w:val="44"/>
          <w:lang w:val="en-US" w:eastAsia="zh-CN"/>
        </w:rPr>
        <w:t>4</w:t>
      </w:r>
    </w:p>
    <w:p/>
    <w:p>
      <w:pPr>
        <w:pStyle w:val="17"/>
        <w:tabs>
          <w:tab w:val="right" w:leader="dot" w:pos="8296"/>
        </w:tabs>
        <w:rPr>
          <w:rFonts w:hint="eastAsia" w:eastAsia="宋体"/>
          <w:sz w:val="44"/>
          <w:szCs w:val="44"/>
          <w:lang w:eastAsia="zh-CN"/>
        </w:rPr>
      </w:pPr>
      <w:r>
        <w:fldChar w:fldCharType="begin"/>
      </w:r>
      <w:r>
        <w:instrText xml:space="preserve"> HYPERLINK \l "_Toc10464686" </w:instrText>
      </w:r>
      <w:r>
        <w:fldChar w:fldCharType="separate"/>
      </w:r>
      <w:r>
        <w:rPr>
          <w:rStyle w:val="23"/>
          <w:rFonts w:hint="eastAsia" w:ascii="黑体" w:hAnsi="黑体" w:cs="黑体"/>
          <w:color w:val="auto"/>
          <w:sz w:val="44"/>
          <w:szCs w:val="44"/>
        </w:rPr>
        <w:t>第七章</w:t>
      </w:r>
      <w:r>
        <w:rPr>
          <w:rStyle w:val="23"/>
          <w:rFonts w:ascii="黑体" w:hAnsi="黑体" w:cs="黑体"/>
          <w:color w:val="auto"/>
          <w:sz w:val="44"/>
          <w:szCs w:val="44"/>
        </w:rPr>
        <w:t xml:space="preserve"> </w:t>
      </w:r>
      <w:r>
        <w:rPr>
          <w:rStyle w:val="23"/>
          <w:rFonts w:hint="eastAsia" w:ascii="黑体" w:hAnsi="黑体" w:cs="黑体"/>
          <w:color w:val="auto"/>
          <w:sz w:val="44"/>
          <w:szCs w:val="44"/>
        </w:rPr>
        <w:t>采购需求</w:t>
      </w:r>
      <w:r>
        <w:rPr>
          <w:sz w:val="44"/>
          <w:szCs w:val="44"/>
        </w:rPr>
        <w:tab/>
      </w:r>
      <w:r>
        <w:rPr>
          <w:rFonts w:hint="eastAsia"/>
          <w:sz w:val="44"/>
          <w:szCs w:val="44"/>
        </w:rPr>
        <w:t>4</w:t>
      </w:r>
      <w:r>
        <w:rPr>
          <w:rFonts w:hint="eastAsia"/>
          <w:sz w:val="44"/>
          <w:szCs w:val="44"/>
        </w:rPr>
        <w:fldChar w:fldCharType="end"/>
      </w:r>
      <w:r>
        <w:rPr>
          <w:rFonts w:hint="eastAsia"/>
          <w:sz w:val="44"/>
          <w:szCs w:val="44"/>
          <w:lang w:val="en-US" w:eastAsia="zh-CN"/>
        </w:rPr>
        <w:t>4</w:t>
      </w:r>
    </w:p>
    <w:p/>
    <w:p>
      <w:pPr>
        <w:pStyle w:val="17"/>
        <w:tabs>
          <w:tab w:val="right" w:leader="dot" w:pos="8296"/>
        </w:tabs>
        <w:rPr>
          <w:rFonts w:hint="eastAsia" w:eastAsia="宋体"/>
          <w:sz w:val="44"/>
          <w:szCs w:val="44"/>
          <w:lang w:eastAsia="zh-CN"/>
        </w:rPr>
      </w:pPr>
      <w:r>
        <w:fldChar w:fldCharType="begin"/>
      </w:r>
      <w:r>
        <w:instrText xml:space="preserve"> HYPERLINK \l "_Toc10464687" </w:instrText>
      </w:r>
      <w:r>
        <w:fldChar w:fldCharType="separate"/>
      </w:r>
      <w:r>
        <w:rPr>
          <w:rStyle w:val="23"/>
          <w:rFonts w:hint="eastAsia" w:ascii="黑体" w:hAnsi="黑体" w:cs="黑体"/>
          <w:color w:val="auto"/>
          <w:sz w:val="44"/>
          <w:szCs w:val="44"/>
        </w:rPr>
        <w:t>第八章</w:t>
      </w:r>
      <w:r>
        <w:rPr>
          <w:rStyle w:val="23"/>
          <w:rFonts w:ascii="黑体" w:hAnsi="黑体" w:cs="黑体"/>
          <w:color w:val="auto"/>
          <w:sz w:val="44"/>
          <w:szCs w:val="44"/>
        </w:rPr>
        <w:t xml:space="preserve"> </w:t>
      </w:r>
      <w:r>
        <w:rPr>
          <w:rStyle w:val="23"/>
          <w:rFonts w:hint="eastAsia" w:ascii="黑体" w:hAnsi="黑体" w:cs="黑体"/>
          <w:color w:val="auto"/>
          <w:sz w:val="44"/>
          <w:szCs w:val="44"/>
        </w:rPr>
        <w:t>评标办法</w:t>
      </w:r>
      <w:r>
        <w:rPr>
          <w:sz w:val="44"/>
          <w:szCs w:val="44"/>
        </w:rPr>
        <w:tab/>
      </w:r>
      <w:r>
        <w:rPr>
          <w:rFonts w:hint="eastAsia"/>
          <w:sz w:val="44"/>
          <w:szCs w:val="44"/>
        </w:rPr>
        <w:t>4</w:t>
      </w:r>
      <w:r>
        <w:rPr>
          <w:rFonts w:hint="eastAsia"/>
          <w:sz w:val="44"/>
          <w:szCs w:val="44"/>
        </w:rPr>
        <w:fldChar w:fldCharType="end"/>
      </w:r>
      <w:r>
        <w:rPr>
          <w:rFonts w:hint="eastAsia"/>
          <w:sz w:val="44"/>
          <w:szCs w:val="44"/>
          <w:lang w:val="en-US" w:eastAsia="zh-CN"/>
        </w:rPr>
        <w:t>5</w:t>
      </w:r>
    </w:p>
    <w:p/>
    <w:p>
      <w:pPr>
        <w:pStyle w:val="17"/>
        <w:tabs>
          <w:tab w:val="right" w:leader="dot" w:pos="8296"/>
        </w:tabs>
        <w:rPr>
          <w:rFonts w:hint="eastAsia" w:ascii="Calibri" w:hAnsi="Calibri" w:eastAsia="宋体"/>
          <w:b w:val="0"/>
          <w:bCs w:val="0"/>
          <w:caps w:val="0"/>
          <w:sz w:val="44"/>
          <w:szCs w:val="44"/>
          <w:lang w:val="en-US" w:eastAsia="zh-CN"/>
        </w:rPr>
      </w:pPr>
      <w:r>
        <w:rPr>
          <w:rFonts w:hint="eastAsia" w:ascii="黑体" w:hAnsi="黑体" w:eastAsia="黑体" w:cs="黑体"/>
          <w:bCs w:val="0"/>
          <w:sz w:val="44"/>
          <w:szCs w:val="44"/>
        </w:rPr>
        <w:fldChar w:fldCharType="end"/>
      </w:r>
      <w:r>
        <w:fldChar w:fldCharType="begin"/>
      </w:r>
      <w:r>
        <w:instrText xml:space="preserve"> HYPERLINK \l "_Toc10464687" </w:instrText>
      </w:r>
      <w:r>
        <w:fldChar w:fldCharType="separate"/>
      </w:r>
      <w:r>
        <w:rPr>
          <w:rStyle w:val="23"/>
          <w:rFonts w:hint="eastAsia" w:ascii="黑体" w:hAnsi="黑体" w:cs="黑体"/>
          <w:color w:val="auto"/>
          <w:sz w:val="44"/>
          <w:szCs w:val="44"/>
          <w:u w:val="none"/>
        </w:rPr>
        <w:t>第九章</w:t>
      </w:r>
      <w:r>
        <w:rPr>
          <w:rStyle w:val="23"/>
          <w:rFonts w:ascii="黑体" w:hAnsi="黑体" w:cs="黑体"/>
          <w:color w:val="auto"/>
          <w:sz w:val="44"/>
          <w:szCs w:val="44"/>
          <w:u w:val="none"/>
        </w:rPr>
        <w:t xml:space="preserve"> </w:t>
      </w:r>
      <w:r>
        <w:rPr>
          <w:rStyle w:val="23"/>
          <w:rFonts w:hint="eastAsia" w:ascii="黑体" w:hAnsi="黑体" w:cs="黑体"/>
          <w:color w:val="auto"/>
          <w:sz w:val="44"/>
          <w:szCs w:val="44"/>
          <w:u w:val="none"/>
        </w:rPr>
        <w:t>合同文本</w:t>
      </w:r>
      <w:r>
        <w:rPr>
          <w:sz w:val="44"/>
          <w:szCs w:val="44"/>
        </w:rPr>
        <w:tab/>
      </w:r>
      <w:r>
        <w:rPr>
          <w:rFonts w:hint="eastAsia"/>
          <w:sz w:val="44"/>
          <w:szCs w:val="44"/>
          <w:lang w:val="en-US" w:eastAsia="zh-CN"/>
        </w:rPr>
        <w:t>4</w:t>
      </w:r>
      <w:r>
        <w:rPr>
          <w:rFonts w:hint="eastAsia"/>
          <w:sz w:val="44"/>
          <w:szCs w:val="44"/>
        </w:rPr>
        <w:fldChar w:fldCharType="end"/>
      </w:r>
      <w:r>
        <w:rPr>
          <w:rFonts w:hint="eastAsia"/>
          <w:sz w:val="44"/>
          <w:szCs w:val="44"/>
          <w:lang w:val="en-US" w:eastAsia="zh-CN"/>
        </w:rPr>
        <w:t>9</w:t>
      </w:r>
    </w:p>
    <w:p>
      <w:r>
        <w:rPr>
          <w:rFonts w:hint="eastAsia"/>
        </w:rPr>
        <w:t xml:space="preserve"> </w:t>
      </w:r>
    </w:p>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8" w:firstLineChars="200"/>
        <w:rPr>
          <w:rFonts w:ascii="宋体" w:hAnsi="宋体"/>
          <w:color w:val="000000" w:themeColor="text1"/>
          <w:sz w:val="24"/>
          <w:szCs w:val="24"/>
          <w14:textFill>
            <w14:solidFill>
              <w14:schemeClr w14:val="tx1"/>
            </w14:solidFill>
          </w14:textFill>
        </w:rPr>
      </w:pPr>
      <w:r>
        <w:rPr>
          <w:rFonts w:hint="eastAsia" w:ascii="宋体" w:hAnsi="宋体" w:cs="宋体"/>
          <w:color w:val="auto"/>
          <w:spacing w:val="2"/>
          <w:sz w:val="24"/>
          <w:u w:val="single"/>
          <w:lang w:val="zh-CN"/>
        </w:rPr>
        <w:t>后曹沟复耕工程</w:t>
      </w:r>
      <w:r>
        <w:rPr>
          <w:rFonts w:hint="eastAsia" w:ascii="宋体" w:hAnsi="宋体"/>
          <w:sz w:val="24"/>
          <w:szCs w:val="24"/>
        </w:rPr>
        <w:t>的潜在投标人应在</w:t>
      </w:r>
      <w:r>
        <w:rPr>
          <w:rFonts w:hint="eastAsia" w:ascii="宋体" w:hAnsi="宋体"/>
          <w:sz w:val="24"/>
          <w:szCs w:val="24"/>
          <w:u w:val="single"/>
        </w:rPr>
        <w:t>天宁区弘智路7号B座3楼</w:t>
      </w:r>
      <w:r>
        <w:rPr>
          <w:rFonts w:hint="eastAsia" w:ascii="宋体" w:hAnsi="宋体"/>
          <w:sz w:val="24"/>
          <w:szCs w:val="24"/>
        </w:rPr>
        <w:t>获取招标文件，并</w:t>
      </w:r>
      <w:r>
        <w:rPr>
          <w:rFonts w:hint="eastAsia" w:ascii="宋体" w:hAnsi="宋体"/>
          <w:color w:val="000000" w:themeColor="text1"/>
          <w:sz w:val="24"/>
          <w:szCs w:val="24"/>
          <w14:textFill>
            <w14:solidFill>
              <w14:schemeClr w14:val="tx1"/>
            </w14:solidFill>
          </w14:textFill>
        </w:rPr>
        <w:t>于</w:t>
      </w:r>
      <w:r>
        <w:rPr>
          <w:rFonts w:ascii="宋体" w:hAnsi="宋体"/>
          <w:bCs/>
          <w:color w:val="000000" w:themeColor="text1"/>
          <w:sz w:val="24"/>
          <w:szCs w:val="24"/>
          <w:u w:val="single"/>
          <w14:textFill>
            <w14:solidFill>
              <w14:schemeClr w14:val="tx1"/>
            </w14:solidFill>
          </w14:textFill>
        </w:rPr>
        <w:t>202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年</w:t>
      </w:r>
      <w:r>
        <w:rPr>
          <w:rFonts w:hint="eastAsia" w:ascii="宋体" w:hAnsi="宋体"/>
          <w:bCs/>
          <w:color w:val="000000" w:themeColor="text1"/>
          <w:sz w:val="24"/>
          <w:szCs w:val="24"/>
          <w:u w:val="single"/>
          <w:lang w:val="en-US" w:eastAsia="zh-CN"/>
          <w14:textFill>
            <w14:solidFill>
              <w14:schemeClr w14:val="tx1"/>
            </w14:solidFill>
          </w14:textFill>
        </w:rPr>
        <w:t>8</w:t>
      </w:r>
      <w:r>
        <w:rPr>
          <w:rFonts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lang w:val="en-US" w:eastAsia="zh-CN"/>
          <w14:textFill>
            <w14:solidFill>
              <w14:schemeClr w14:val="tx1"/>
            </w14:solidFill>
          </w14:textFill>
        </w:rPr>
        <w:t>5</w:t>
      </w:r>
      <w:r>
        <w:rPr>
          <w:rFonts w:ascii="宋体" w:hAnsi="宋体"/>
          <w:bCs/>
          <w:color w:val="000000" w:themeColor="text1"/>
          <w:sz w:val="24"/>
          <w:szCs w:val="24"/>
          <w:u w:val="single"/>
          <w14:textFill>
            <w14:solidFill>
              <w14:schemeClr w14:val="tx1"/>
            </w14:solidFill>
          </w14:textFill>
        </w:rPr>
        <w:t>日</w:t>
      </w:r>
      <w:r>
        <w:rPr>
          <w:rFonts w:hint="eastAsia" w:ascii="宋体" w:hAnsi="宋体"/>
          <w:bCs/>
          <w:color w:val="000000" w:themeColor="text1"/>
          <w:sz w:val="24"/>
          <w:szCs w:val="24"/>
          <w:u w:val="single"/>
          <w:lang w:val="en-US" w:eastAsia="zh-CN"/>
          <w14:textFill>
            <w14:solidFill>
              <w14:schemeClr w14:val="tx1"/>
            </w14:solidFill>
          </w14:textFill>
        </w:rPr>
        <w:t>15</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lang w:val="en-US" w:eastAsia="zh-CN"/>
          <w14:textFill>
            <w14:solidFill>
              <w14:schemeClr w14:val="tx1"/>
            </w14:solidFill>
          </w14:textFill>
        </w:rPr>
        <w:t>00</w:t>
      </w:r>
      <w:r>
        <w:rPr>
          <w:rFonts w:ascii="宋体" w:hAnsi="宋体"/>
          <w:bCs/>
          <w:color w:val="000000" w:themeColor="text1"/>
          <w:sz w:val="24"/>
          <w:szCs w:val="24"/>
          <w:u w:val="single"/>
          <w14:textFill>
            <w14:solidFill>
              <w14:schemeClr w14:val="tx1"/>
            </w14:solidFill>
          </w14:textFill>
        </w:rPr>
        <w:t xml:space="preserve"> 分</w:t>
      </w:r>
      <w:r>
        <w:rPr>
          <w:rFonts w:hint="eastAsia" w:ascii="宋体" w:hAnsi="宋体"/>
          <w:bCs/>
          <w:color w:val="000000" w:themeColor="text1"/>
          <w:sz w:val="24"/>
          <w:szCs w:val="24"/>
          <w:u w:val="single"/>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北京时间）前递交投标文件</w:t>
      </w:r>
      <w:r>
        <w:rPr>
          <w:rFonts w:hint="eastAsia" w:ascii="宋体" w:hAnsi="宋体"/>
          <w:color w:val="000000" w:themeColor="text1"/>
          <w:sz w:val="24"/>
          <w:szCs w:val="24"/>
          <w14:textFill>
            <w14:solidFill>
              <w14:schemeClr w14:val="tx1"/>
            </w14:solidFill>
          </w14:textFill>
        </w:rPr>
        <w:t>。</w:t>
      </w:r>
    </w:p>
    <w:p>
      <w:pPr>
        <w:pStyle w:val="12"/>
        <w:ind w:left="0" w:leftChars="0"/>
        <w:rPr>
          <w:rFonts w:ascii="宋体" w:hAnsi="宋体" w:cs="宋体"/>
          <w:b/>
          <w:color w:val="000000" w:themeColor="text1"/>
          <w:kern w:val="0"/>
          <w:sz w:val="24"/>
          <w:szCs w:val="24"/>
          <w14:textFill>
            <w14:solidFill>
              <w14:schemeClr w14:val="tx1"/>
            </w14:solidFill>
          </w14:textFill>
        </w:rPr>
      </w:pPr>
      <w:bookmarkStart w:id="27" w:name="_Toc28359002"/>
      <w:bookmarkStart w:id="28" w:name="_Toc35393790"/>
      <w:bookmarkStart w:id="29" w:name="_Toc35393621"/>
      <w:bookmarkStart w:id="30" w:name="_Toc28359079"/>
      <w:bookmarkStart w:id="31" w:name="_Hlk24379207"/>
    </w:p>
    <w:p>
      <w:pPr>
        <w:pStyle w:val="12"/>
        <w:numPr>
          <w:ilvl w:val="0"/>
          <w:numId w:val="1"/>
        </w:numPr>
        <w:spacing w:line="360" w:lineRule="auto"/>
        <w:ind w:left="0" w:leftChars="0"/>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项目基本情况</w:t>
      </w:r>
      <w:bookmarkEnd w:id="27"/>
      <w:bookmarkEnd w:id="28"/>
      <w:bookmarkEnd w:id="29"/>
      <w:bookmarkEnd w:id="30"/>
      <w:r>
        <w:rPr>
          <w:rFonts w:hint="eastAsia" w:ascii="宋体" w:hAnsi="宋体" w:cs="宋体"/>
          <w:b/>
          <w:color w:val="000000" w:themeColor="text1"/>
          <w:kern w:val="0"/>
          <w:sz w:val="24"/>
          <w:szCs w:val="24"/>
          <w14:textFill>
            <w14:solidFill>
              <w14:schemeClr w14:val="tx1"/>
            </w14:solidFill>
          </w14:textFill>
        </w:rPr>
        <w:t>：</w:t>
      </w:r>
    </w:p>
    <w:p>
      <w:pPr>
        <w:pStyle w:val="12"/>
        <w:numPr>
          <w:ilvl w:val="0"/>
          <w:numId w:val="2"/>
        </w:numPr>
        <w:spacing w:line="360" w:lineRule="auto"/>
        <w:ind w:left="0" w:leftChars="0"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lang w:eastAsia="zh-CN"/>
          <w14:textFill>
            <w14:solidFill>
              <w14:schemeClr w14:val="tx1"/>
            </w14:solidFill>
          </w14:textFill>
        </w:rPr>
        <w:t>CY-CS-2022006</w:t>
      </w:r>
      <w:r>
        <w:rPr>
          <w:rFonts w:hint="eastAsia" w:ascii="宋体" w:hAnsi="宋体"/>
          <w:color w:val="000000" w:themeColor="text1"/>
          <w:sz w:val="24"/>
          <w:szCs w:val="24"/>
          <w:u w:val="single"/>
          <w14:textFill>
            <w14:solidFill>
              <w14:schemeClr w14:val="tx1"/>
            </w14:solidFill>
          </w14:textFill>
        </w:rPr>
        <w:t xml:space="preserve"> </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项目名称：</w:t>
      </w:r>
      <w:bookmarkEnd w:id="31"/>
      <w:r>
        <w:rPr>
          <w:rFonts w:hint="eastAsia" w:ascii="宋体" w:hAnsi="宋体"/>
          <w:sz w:val="24"/>
          <w:szCs w:val="24"/>
          <w:u w:val="single"/>
          <w:lang w:eastAsia="zh-CN"/>
        </w:rPr>
        <w:t>后曹沟复耕工程</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预算金额：</w:t>
      </w:r>
      <w:r>
        <w:rPr>
          <w:rFonts w:hint="eastAsia" w:ascii="宋体" w:hAnsi="宋体"/>
          <w:sz w:val="24"/>
          <w:szCs w:val="24"/>
          <w:u w:val="single"/>
        </w:rPr>
        <w:t xml:space="preserve"> </w:t>
      </w:r>
      <w:r>
        <w:rPr>
          <w:rFonts w:hint="eastAsia" w:ascii="宋体" w:hAnsi="宋体"/>
          <w:sz w:val="24"/>
          <w:szCs w:val="24"/>
          <w:u w:val="single"/>
          <w:lang w:eastAsia="zh-CN"/>
        </w:rPr>
        <w:t>595098.05</w:t>
      </w:r>
      <w:r>
        <w:rPr>
          <w:rFonts w:hint="eastAsia" w:ascii="宋体" w:hAnsi="宋体"/>
          <w:sz w:val="24"/>
          <w:szCs w:val="24"/>
          <w:u w:val="single"/>
          <w:lang w:val="en-US" w:eastAsia="zh-CN"/>
        </w:rPr>
        <w:t>元</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最高限价：</w:t>
      </w:r>
      <w:r>
        <w:rPr>
          <w:rFonts w:hint="eastAsia" w:ascii="宋体" w:hAnsi="宋体"/>
          <w:sz w:val="24"/>
          <w:szCs w:val="24"/>
          <w:u w:val="single"/>
        </w:rPr>
        <w:t xml:space="preserve"> </w:t>
      </w:r>
      <w:r>
        <w:rPr>
          <w:rFonts w:hint="eastAsia" w:ascii="宋体" w:hAnsi="宋体"/>
          <w:sz w:val="24"/>
          <w:szCs w:val="24"/>
          <w:u w:val="single"/>
          <w:lang w:eastAsia="zh-CN"/>
        </w:rPr>
        <w:t>595098.05</w:t>
      </w:r>
      <w:r>
        <w:rPr>
          <w:rFonts w:hint="eastAsia" w:ascii="宋体" w:hAnsi="宋体"/>
          <w:sz w:val="24"/>
          <w:szCs w:val="24"/>
          <w:u w:val="single"/>
          <w:lang w:val="en-US" w:eastAsia="zh-CN"/>
        </w:rPr>
        <w:t>元</w:t>
      </w:r>
    </w:p>
    <w:p>
      <w:pPr>
        <w:pStyle w:val="12"/>
        <w:numPr>
          <w:ilvl w:val="0"/>
          <w:numId w:val="2"/>
        </w:numPr>
        <w:spacing w:line="360" w:lineRule="auto"/>
        <w:ind w:left="0" w:leftChars="0" w:firstLine="480" w:firstLineChars="200"/>
        <w:rPr>
          <w:rFonts w:ascii="宋体" w:hAnsi="宋体" w:cs="宋体"/>
          <w:sz w:val="24"/>
          <w:szCs w:val="24"/>
        </w:rPr>
      </w:pPr>
      <w:r>
        <w:rPr>
          <w:rFonts w:hint="eastAsia" w:ascii="宋体" w:hAnsi="宋体"/>
          <w:sz w:val="24"/>
          <w:szCs w:val="24"/>
        </w:rPr>
        <w:t>采购需求：后曹沟复耕工程，具体改造内容参考第七章。</w:t>
      </w:r>
    </w:p>
    <w:p>
      <w:pPr>
        <w:pStyle w:val="12"/>
        <w:numPr>
          <w:ilvl w:val="0"/>
          <w:numId w:val="2"/>
        </w:numPr>
        <w:spacing w:line="360" w:lineRule="auto"/>
        <w:ind w:left="0" w:leftChars="0" w:firstLine="480" w:firstLineChars="200"/>
        <w:rPr>
          <w:rFonts w:ascii="宋体" w:hAnsi="宋体" w:cs="宋体"/>
          <w:sz w:val="24"/>
          <w:szCs w:val="24"/>
        </w:rPr>
      </w:pPr>
      <w:r>
        <w:rPr>
          <w:rFonts w:hint="eastAsia" w:ascii="宋体" w:hAnsi="宋体" w:cs="宋体"/>
          <w:sz w:val="24"/>
          <w:szCs w:val="24"/>
        </w:rPr>
        <w:t>合同履行期限：</w:t>
      </w:r>
      <w:r>
        <w:rPr>
          <w:rFonts w:hint="eastAsia" w:ascii="宋体" w:hAnsi="宋体" w:cs="宋体"/>
          <w:color w:val="auto"/>
          <w:sz w:val="24"/>
          <w:szCs w:val="24"/>
        </w:rPr>
        <w:t>施工</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hint="eastAsia" w:ascii="宋体" w:hAnsi="宋体" w:cs="宋体"/>
          <w:color w:val="auto"/>
          <w:sz w:val="24"/>
          <w:szCs w:val="24"/>
          <w:u w:val="single"/>
        </w:rPr>
        <w:t xml:space="preserve">   </w:t>
      </w:r>
      <w:r>
        <w:rPr>
          <w:rFonts w:hint="eastAsia" w:ascii="宋体" w:hAnsi="宋体" w:cs="宋体"/>
          <w:color w:val="auto"/>
          <w:sz w:val="24"/>
          <w:szCs w:val="24"/>
        </w:rPr>
        <w:t>天；质保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sz w:val="24"/>
          <w:szCs w:val="24"/>
        </w:rPr>
        <w:t>；进场时间以采购人书面通知为准。</w:t>
      </w:r>
    </w:p>
    <w:p>
      <w:pPr>
        <w:pStyle w:val="49"/>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b/>
          <w:bCs/>
          <w:sz w:val="24"/>
          <w:szCs w:val="24"/>
        </w:rPr>
        <w:t>本项目不接受联合体招标</w:t>
      </w:r>
    </w:p>
    <w:p>
      <w:pPr>
        <w:pStyle w:val="3"/>
        <w:spacing w:line="360" w:lineRule="auto"/>
        <w:rPr>
          <w:color w:val="FF0000"/>
          <w:sz w:val="24"/>
          <w:szCs w:val="28"/>
        </w:rPr>
      </w:pPr>
    </w:p>
    <w:p>
      <w:pPr>
        <w:pStyle w:val="5"/>
        <w:snapToGrid w:val="0"/>
        <w:spacing w:line="360" w:lineRule="auto"/>
        <w:rPr>
          <w:rFonts w:ascii="宋体" w:hAnsi="宋体" w:eastAsia="宋体" w:cs="宋体"/>
          <w:b/>
          <w:sz w:val="24"/>
          <w:szCs w:val="24"/>
        </w:rPr>
      </w:pPr>
      <w:bookmarkStart w:id="32" w:name="_Toc35393791"/>
      <w:bookmarkStart w:id="33" w:name="_Toc28359003"/>
      <w:bookmarkStart w:id="34" w:name="_Toc28359080"/>
      <w:bookmarkStart w:id="35" w:name="_Toc35393622"/>
      <w:r>
        <w:rPr>
          <w:rFonts w:hint="eastAsia" w:ascii="宋体" w:hAnsi="宋体" w:eastAsia="宋体" w:cs="宋体"/>
          <w:b/>
          <w:sz w:val="24"/>
          <w:szCs w:val="24"/>
        </w:rPr>
        <w:t>二、申请人的资格要求：</w:t>
      </w:r>
      <w:bookmarkEnd w:id="32"/>
      <w:bookmarkEnd w:id="33"/>
      <w:bookmarkEnd w:id="34"/>
      <w:bookmarkEnd w:id="3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960" w:firstLineChars="400"/>
        <w:rPr>
          <w:rFonts w:ascii="Arial" w:hAnsi="Arial" w:cs="Arial"/>
          <w:color w:val="000000"/>
          <w:kern w:val="0"/>
          <w:sz w:val="24"/>
          <w:szCs w:val="24"/>
        </w:rPr>
      </w:pPr>
      <w:bookmarkStart w:id="36" w:name="_Toc28359081"/>
      <w:bookmarkStart w:id="37" w:name="_Toc28359004"/>
      <w:r>
        <w:rPr>
          <w:rFonts w:cs="Calibri"/>
          <w:color w:val="000000"/>
          <w:kern w:val="0"/>
          <w:sz w:val="24"/>
          <w:szCs w:val="24"/>
        </w:rPr>
        <w:t>1.1 </w:t>
      </w:r>
      <w:r>
        <w:rPr>
          <w:rFonts w:hint="eastAsia" w:ascii="宋体" w:hAnsi="宋体" w:cs="Arial"/>
          <w:color w:val="000000"/>
          <w:kern w:val="0"/>
          <w:sz w:val="24"/>
          <w:szCs w:val="24"/>
        </w:rPr>
        <w:t>具有独立承担民事责任的能力。</w:t>
      </w:r>
    </w:p>
    <w:p>
      <w:pPr>
        <w:widowControl/>
        <w:shd w:val="clear" w:color="auto" w:fill="FFFFFF"/>
        <w:spacing w:after="150" w:line="360" w:lineRule="auto"/>
        <w:ind w:firstLine="960" w:firstLineChars="400"/>
        <w:rPr>
          <w:rFonts w:ascii="宋体" w:hAnsi="宋体" w:cs="Arial"/>
          <w:color w:val="000000"/>
          <w:kern w:val="0"/>
          <w:sz w:val="24"/>
          <w:szCs w:val="24"/>
        </w:rPr>
      </w:pPr>
      <w:r>
        <w:rPr>
          <w:rFonts w:cs="Calibri"/>
          <w:color w:val="000000"/>
          <w:kern w:val="0"/>
          <w:sz w:val="24"/>
          <w:szCs w:val="24"/>
        </w:rPr>
        <w:t>1.2</w:t>
      </w:r>
      <w:r>
        <w:rPr>
          <w:rFonts w:hint="eastAsia" w:ascii="宋体" w:hAnsi="宋体" w:cs="Arial"/>
          <w:color w:val="000000"/>
          <w:kern w:val="0"/>
          <w:sz w:val="24"/>
          <w:szCs w:val="24"/>
        </w:rPr>
        <w:t>具有良好的商业</w:t>
      </w:r>
      <w:r>
        <w:rPr>
          <w:rFonts w:hint="eastAsia" w:cs="Calibri"/>
          <w:color w:val="000000"/>
          <w:kern w:val="0"/>
          <w:sz w:val="24"/>
          <w:szCs w:val="24"/>
        </w:rPr>
        <w:t>信誉</w:t>
      </w:r>
      <w:r>
        <w:rPr>
          <w:rFonts w:hint="eastAsia" w:ascii="宋体" w:hAnsi="宋体" w:cs="Arial"/>
          <w:color w:val="000000"/>
          <w:kern w:val="0"/>
          <w:sz w:val="24"/>
          <w:szCs w:val="24"/>
        </w:rPr>
        <w:t>。</w:t>
      </w:r>
    </w:p>
    <w:p>
      <w:pPr>
        <w:pStyle w:val="3"/>
        <w:spacing w:line="360" w:lineRule="auto"/>
        <w:ind w:firstLine="960" w:firstLineChars="400"/>
        <w:rPr>
          <w:sz w:val="24"/>
          <w:szCs w:val="24"/>
        </w:rPr>
      </w:pPr>
      <w:r>
        <w:rPr>
          <w:rFonts w:hint="eastAsia" w:cs="Calibri"/>
          <w:color w:val="000000"/>
          <w:kern w:val="0"/>
          <w:sz w:val="24"/>
          <w:szCs w:val="24"/>
        </w:rPr>
        <w:t>1.3具有履行合同所必需的设备和专业技术能力。</w:t>
      </w:r>
    </w:p>
    <w:p>
      <w:pPr>
        <w:widowControl/>
        <w:shd w:val="clear" w:color="auto" w:fill="FFFFFF"/>
        <w:spacing w:after="150" w:line="360" w:lineRule="auto"/>
        <w:ind w:firstLine="960" w:firstLineChars="400"/>
        <w:rPr>
          <w:rFonts w:ascii="Arial" w:hAnsi="Arial" w:cs="Arial"/>
          <w:color w:val="000000"/>
          <w:kern w:val="0"/>
          <w:sz w:val="24"/>
          <w:szCs w:val="24"/>
        </w:rPr>
      </w:pPr>
      <w:r>
        <w:rPr>
          <w:rFonts w:cs="Calibri"/>
          <w:color w:val="000000"/>
          <w:kern w:val="0"/>
          <w:sz w:val="24"/>
          <w:szCs w:val="24"/>
        </w:rPr>
        <w:t>1.</w:t>
      </w:r>
      <w:r>
        <w:rPr>
          <w:rFonts w:hint="eastAsia" w:cs="Calibri"/>
          <w:color w:val="000000"/>
          <w:kern w:val="0"/>
          <w:sz w:val="24"/>
          <w:szCs w:val="24"/>
        </w:rPr>
        <w:t>4</w:t>
      </w:r>
      <w:r>
        <w:rPr>
          <w:rFonts w:hint="eastAsia" w:ascii="宋体" w:hAnsi="宋体" w:cs="Arial"/>
          <w:color w:val="000000"/>
          <w:kern w:val="0"/>
          <w:sz w:val="24"/>
          <w:szCs w:val="24"/>
        </w:rPr>
        <w:t>有依法缴纳税收和社会保障资金的良好记录。</w:t>
      </w:r>
    </w:p>
    <w:p>
      <w:pPr>
        <w:widowControl/>
        <w:shd w:val="clear" w:color="auto" w:fill="FFFFFF"/>
        <w:spacing w:after="150" w:line="360" w:lineRule="auto"/>
        <w:ind w:firstLine="960" w:firstLineChars="400"/>
        <w:rPr>
          <w:rFonts w:ascii="Arial" w:hAnsi="Arial" w:cs="Arial"/>
          <w:color w:val="000000"/>
          <w:kern w:val="0"/>
          <w:sz w:val="24"/>
          <w:szCs w:val="24"/>
        </w:rPr>
      </w:pPr>
      <w:r>
        <w:rPr>
          <w:rFonts w:cs="Calibri"/>
          <w:color w:val="000000"/>
          <w:kern w:val="0"/>
          <w:sz w:val="24"/>
          <w:szCs w:val="24"/>
        </w:rPr>
        <w:t>1.</w:t>
      </w:r>
      <w:r>
        <w:rPr>
          <w:rFonts w:hint="eastAsia" w:cs="Calibri"/>
          <w:color w:val="000000"/>
          <w:kern w:val="0"/>
          <w:sz w:val="24"/>
          <w:szCs w:val="24"/>
        </w:rPr>
        <w:t>5</w:t>
      </w:r>
      <w:r>
        <w:rPr>
          <w:rFonts w:hint="eastAsia" w:ascii="宋体" w:hAnsi="宋体" w:cs="Arial"/>
          <w:color w:val="000000"/>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pPr>
      <w:bookmarkStart w:id="38" w:name="_Toc35393623"/>
      <w:bookmarkStart w:id="39" w:name="_Toc35393792"/>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rPr>
          <w:rFonts w:ascii="宋体" w:hAnsi="宋体" w:cs="宋体"/>
          <w:b/>
          <w:sz w:val="24"/>
          <w:szCs w:val="24"/>
        </w:rPr>
      </w:pPr>
      <w:r>
        <w:rPr>
          <w:rFonts w:hint="eastAsia" w:ascii="宋体" w:hAnsi="宋体" w:cs="宋体"/>
          <w:b/>
          <w:sz w:val="24"/>
          <w:szCs w:val="24"/>
        </w:rPr>
        <w:t>三、获取招标文件</w:t>
      </w:r>
      <w:bookmarkEnd w:id="36"/>
      <w:bookmarkEnd w:id="37"/>
      <w:bookmarkEnd w:id="38"/>
      <w:bookmarkEnd w:id="39"/>
    </w:p>
    <w:p>
      <w:pPr>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2022年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27</w:t>
      </w:r>
      <w:bookmarkStart w:id="119" w:name="_GoBack"/>
      <w:bookmarkEnd w:id="119"/>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2022年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,工作日每天上午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9:00  </w:t>
      </w:r>
      <w:r>
        <w:rPr>
          <w:rFonts w:hint="eastAsia" w:asciiTheme="minorEastAsia" w:hAnsiTheme="minorEastAsia" w:eastAsiaTheme="minorEastAsia" w:cstheme="minorEastAsia"/>
          <w:color w:val="000000" w:themeColor="text1"/>
          <w:sz w:val="24"/>
          <w:szCs w:val="24"/>
          <w14:textFill>
            <w14:solidFill>
              <w14:schemeClr w14:val="tx1"/>
            </w14:solidFill>
          </w14:textFill>
        </w:rPr>
        <w:t>至下午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17:00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（北京时间，法定节假日除外）</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地点：常州市天宁区弘智路7号B座3楼</w:t>
      </w:r>
    </w:p>
    <w:p>
      <w:pPr>
        <w:snapToGrid w:val="0"/>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方式：现场报名</w:t>
      </w:r>
      <w:r>
        <w:rPr>
          <w:rFonts w:hint="eastAsia" w:ascii="宋体" w:hAnsi="宋体"/>
          <w:color w:val="000000" w:themeColor="text1"/>
          <w:sz w:val="24"/>
          <w:szCs w:val="24"/>
          <w:lang w:val="en-US" w:eastAsia="zh-CN"/>
          <w14:textFill>
            <w14:solidFill>
              <w14:schemeClr w14:val="tx1"/>
            </w14:solidFill>
          </w14:textFill>
        </w:rPr>
        <w:t>(报名时请携带报名表及营业执照复印件并加盖公章）</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u w:val="single"/>
          <w14:textFill>
            <w14:solidFill>
              <w14:schemeClr w14:val="tx1"/>
            </w14:solidFill>
          </w14:textFill>
        </w:rPr>
        <w:t xml:space="preserve"> 500 </w:t>
      </w:r>
      <w:r>
        <w:rPr>
          <w:rFonts w:hint="eastAsia" w:ascii="宋体" w:hAnsi="宋体" w:cs="宋体"/>
          <w:color w:val="000000" w:themeColor="text1"/>
          <w:sz w:val="24"/>
          <w:szCs w:val="24"/>
          <w14:textFill>
            <w14:solidFill>
              <w14:schemeClr w14:val="tx1"/>
            </w14:solidFill>
          </w14:textFill>
        </w:rPr>
        <w:t>元/份。</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0" w:name="_Toc28359082"/>
      <w:bookmarkStart w:id="41" w:name="_Toc28359005"/>
      <w:bookmarkStart w:id="42" w:name="_Toc35393793"/>
      <w:bookmarkStart w:id="43" w:name="_Toc35393624"/>
      <w:r>
        <w:rPr>
          <w:rFonts w:hint="eastAsia" w:ascii="宋体" w:hAnsi="宋体" w:eastAsia="宋体" w:cs="宋体"/>
          <w:b/>
          <w:color w:val="000000" w:themeColor="text1"/>
          <w:sz w:val="24"/>
          <w:szCs w:val="24"/>
          <w14:textFill>
            <w14:solidFill>
              <w14:schemeClr w14:val="tx1"/>
            </w14:solidFill>
          </w14:textFill>
        </w:rPr>
        <w:t>四、提交投标文件</w:t>
      </w:r>
      <w:bookmarkEnd w:id="40"/>
      <w:bookmarkEnd w:id="41"/>
      <w:r>
        <w:rPr>
          <w:rFonts w:hint="eastAsia" w:ascii="宋体" w:hAnsi="宋体" w:eastAsia="宋体" w:cs="宋体"/>
          <w:b/>
          <w:color w:val="000000" w:themeColor="text1"/>
          <w:sz w:val="24"/>
          <w:szCs w:val="24"/>
          <w14:textFill>
            <w14:solidFill>
              <w14:schemeClr w14:val="tx1"/>
            </w14:solidFill>
          </w14:textFill>
        </w:rPr>
        <w:t>截止时间和地点</w:t>
      </w:r>
      <w:bookmarkEnd w:id="42"/>
      <w:bookmarkEnd w:id="43"/>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截止时间（即开标时间）：</w:t>
      </w:r>
      <w:r>
        <w:rPr>
          <w:rFonts w:ascii="宋体" w:hAnsi="宋体"/>
          <w:bCs/>
          <w:color w:val="000000" w:themeColor="text1"/>
          <w:sz w:val="24"/>
          <w:szCs w:val="24"/>
          <w:u w:val="single"/>
          <w14:textFill>
            <w14:solidFill>
              <w14:schemeClr w14:val="tx1"/>
            </w14:solidFill>
          </w14:textFill>
        </w:rPr>
        <w:t>202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年</w:t>
      </w:r>
      <w:r>
        <w:rPr>
          <w:rFonts w:hint="eastAsia" w:ascii="宋体" w:hAnsi="宋体"/>
          <w:bCs/>
          <w:color w:val="000000" w:themeColor="text1"/>
          <w:sz w:val="24"/>
          <w:szCs w:val="24"/>
          <w:u w:val="single"/>
          <w:lang w:val="en-US" w:eastAsia="zh-CN"/>
          <w14:textFill>
            <w14:solidFill>
              <w14:schemeClr w14:val="tx1"/>
            </w14:solidFill>
          </w14:textFill>
        </w:rPr>
        <w:t>8</w:t>
      </w:r>
      <w:r>
        <w:rPr>
          <w:rFonts w:hint="eastAsia"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lang w:val="en-US" w:eastAsia="zh-CN"/>
          <w14:textFill>
            <w14:solidFill>
              <w14:schemeClr w14:val="tx1"/>
            </w14:solidFill>
          </w14:textFill>
        </w:rPr>
        <w:t>5</w:t>
      </w:r>
      <w:r>
        <w:rPr>
          <w:rFonts w:hint="eastAsia" w:ascii="宋体" w:hAnsi="宋体"/>
          <w:bCs/>
          <w:color w:val="000000" w:themeColor="text1"/>
          <w:sz w:val="24"/>
          <w:szCs w:val="24"/>
          <w:u w:val="single"/>
          <w14:textFill>
            <w14:solidFill>
              <w14:schemeClr w14:val="tx1"/>
            </w14:solidFill>
          </w14:textFill>
        </w:rPr>
        <w:t>日</w:t>
      </w:r>
      <w:r>
        <w:rPr>
          <w:rFonts w:hint="eastAsia" w:ascii="宋体" w:hAnsi="宋体"/>
          <w:bCs/>
          <w:color w:val="000000" w:themeColor="text1"/>
          <w:sz w:val="24"/>
          <w:szCs w:val="24"/>
          <w:u w:val="single"/>
          <w:lang w:val="en-US" w:eastAsia="zh-CN"/>
          <w14:textFill>
            <w14:solidFill>
              <w14:schemeClr w14:val="tx1"/>
            </w14:solidFill>
          </w14:textFill>
        </w:rPr>
        <w:t>15</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lang w:val="en-US" w:eastAsia="zh-CN"/>
          <w14:textFill>
            <w14:solidFill>
              <w14:schemeClr w14:val="tx1"/>
            </w14:solidFill>
          </w14:textFill>
        </w:rPr>
        <w:t>00</w:t>
      </w:r>
      <w:r>
        <w:rPr>
          <w:rFonts w:ascii="宋体" w:hAnsi="宋体"/>
          <w:bCs/>
          <w:color w:val="000000" w:themeColor="text1"/>
          <w:sz w:val="24"/>
          <w:szCs w:val="24"/>
          <w:u w:val="single"/>
          <w14:textFill>
            <w14:solidFill>
              <w14:schemeClr w14:val="tx1"/>
            </w14:solidFill>
          </w14:textFill>
        </w:rPr>
        <w:t>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4" w:name="_Toc28359007"/>
      <w:bookmarkStart w:id="45" w:name="_Toc28359084"/>
      <w:bookmarkStart w:id="46" w:name="_Toc35393794"/>
      <w:bookmarkStart w:id="47" w:name="_Toc35393625"/>
      <w:r>
        <w:rPr>
          <w:rFonts w:hint="eastAsia" w:ascii="宋体" w:hAnsi="宋体" w:eastAsia="宋体" w:cs="宋体"/>
          <w:b/>
          <w:color w:val="000000" w:themeColor="text1"/>
          <w:sz w:val="24"/>
          <w:szCs w:val="24"/>
          <w14:textFill>
            <w14:solidFill>
              <w14:schemeClr w14:val="tx1"/>
            </w14:solidFill>
          </w14:textFill>
        </w:rPr>
        <w:t>五、</w:t>
      </w:r>
      <w:bookmarkEnd w:id="44"/>
      <w:bookmarkEnd w:id="45"/>
      <w:bookmarkEnd w:id="46"/>
      <w:bookmarkEnd w:id="47"/>
      <w:r>
        <w:rPr>
          <w:rFonts w:hint="eastAsia" w:ascii="宋体" w:hAnsi="宋体" w:eastAsia="宋体" w:cs="宋体"/>
          <w:b/>
          <w:color w:val="000000" w:themeColor="text1"/>
          <w:sz w:val="24"/>
          <w:szCs w:val="24"/>
          <w14:textFill>
            <w14:solidFill>
              <w14:schemeClr w14:val="tx1"/>
            </w14:solidFill>
          </w14:textFill>
        </w:rPr>
        <w:t>开启</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时间：</w:t>
      </w:r>
      <w:r>
        <w:rPr>
          <w:rFonts w:ascii="宋体" w:hAnsi="宋体"/>
          <w:bCs/>
          <w:color w:val="000000" w:themeColor="text1"/>
          <w:sz w:val="24"/>
          <w:szCs w:val="24"/>
          <w:u w:val="single"/>
          <w14:textFill>
            <w14:solidFill>
              <w14:schemeClr w14:val="tx1"/>
            </w14:solidFill>
          </w14:textFill>
        </w:rPr>
        <w:t>202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年</w:t>
      </w:r>
      <w:r>
        <w:rPr>
          <w:rFonts w:hint="eastAsia" w:ascii="宋体" w:hAnsi="宋体"/>
          <w:bCs/>
          <w:color w:val="000000" w:themeColor="text1"/>
          <w:sz w:val="24"/>
          <w:szCs w:val="24"/>
          <w:u w:val="single"/>
          <w:lang w:val="en-US" w:eastAsia="zh-CN"/>
          <w14:textFill>
            <w14:solidFill>
              <w14:schemeClr w14:val="tx1"/>
            </w14:solidFill>
          </w14:textFill>
        </w:rPr>
        <w:t>8</w:t>
      </w:r>
      <w:r>
        <w:rPr>
          <w:rFonts w:hint="eastAsia"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lang w:val="en-US" w:eastAsia="zh-CN"/>
          <w14:textFill>
            <w14:solidFill>
              <w14:schemeClr w14:val="tx1"/>
            </w14:solidFill>
          </w14:textFill>
        </w:rPr>
        <w:t>5</w:t>
      </w:r>
      <w:r>
        <w:rPr>
          <w:rFonts w:hint="eastAsia" w:ascii="宋体" w:hAnsi="宋体"/>
          <w:bCs/>
          <w:color w:val="000000" w:themeColor="text1"/>
          <w:sz w:val="24"/>
          <w:szCs w:val="24"/>
          <w:u w:val="single"/>
          <w14:textFill>
            <w14:solidFill>
              <w14:schemeClr w14:val="tx1"/>
            </w14:solidFill>
          </w14:textFill>
        </w:rPr>
        <w:t>日</w:t>
      </w:r>
      <w:r>
        <w:rPr>
          <w:rFonts w:hint="eastAsia" w:ascii="宋体" w:hAnsi="宋体"/>
          <w:bCs/>
          <w:color w:val="000000" w:themeColor="text1"/>
          <w:sz w:val="24"/>
          <w:szCs w:val="24"/>
          <w:u w:val="single"/>
          <w:lang w:val="en-US" w:eastAsia="zh-CN"/>
          <w14:textFill>
            <w14:solidFill>
              <w14:schemeClr w14:val="tx1"/>
            </w14:solidFill>
          </w14:textFill>
        </w:rPr>
        <w:t>15</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lang w:val="en-US" w:eastAsia="zh-CN"/>
          <w14:textFill>
            <w14:solidFill>
              <w14:schemeClr w14:val="tx1"/>
            </w14:solidFill>
          </w14:textFill>
        </w:rPr>
        <w:t>00</w:t>
      </w:r>
      <w:r>
        <w:rPr>
          <w:rFonts w:ascii="宋体" w:hAnsi="宋体"/>
          <w:bCs/>
          <w:color w:val="000000" w:themeColor="text1"/>
          <w:sz w:val="24"/>
          <w:szCs w:val="24"/>
          <w:u w:val="single"/>
          <w14:textFill>
            <w14:solidFill>
              <w14:schemeClr w14:val="tx1"/>
            </w14:solidFill>
          </w14:textFill>
        </w:rPr>
        <w:t>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六、公告期限</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lang w:val="en-US" w:eastAsia="zh-CN"/>
        </w:rPr>
        <w:t>10</w:t>
      </w:r>
      <w:r>
        <w:rPr>
          <w:rFonts w:hint="eastAsia" w:ascii="宋体" w:hAnsi="宋体" w:cs="宋体"/>
          <w:kern w:val="0"/>
          <w:sz w:val="24"/>
          <w:szCs w:val="24"/>
        </w:rPr>
        <w:t>个工作日</w:t>
      </w:r>
    </w:p>
    <w:p>
      <w:pPr>
        <w:pStyle w:val="5"/>
        <w:numPr>
          <w:ilvl w:val="0"/>
          <w:numId w:val="3"/>
        </w:numPr>
        <w:snapToGrid w:val="0"/>
        <w:spacing w:line="360" w:lineRule="auto"/>
        <w:rPr>
          <w:rFonts w:ascii="宋体" w:hAnsi="宋体" w:eastAsia="宋体" w:cs="宋体"/>
          <w:b/>
          <w:sz w:val="24"/>
          <w:szCs w:val="24"/>
        </w:rPr>
      </w:pPr>
      <w:bookmarkStart w:id="48" w:name="_Toc35393626"/>
      <w:bookmarkStart w:id="49" w:name="_Toc35393795"/>
      <w:r>
        <w:rPr>
          <w:rFonts w:hint="eastAsia" w:ascii="宋体" w:hAnsi="宋体" w:eastAsia="宋体" w:cs="宋体"/>
          <w:b/>
          <w:sz w:val="24"/>
          <w:szCs w:val="24"/>
        </w:rPr>
        <w:t>其他补充事宜</w:t>
      </w:r>
      <w:bookmarkEnd w:id="48"/>
      <w:bookmarkEnd w:id="49"/>
    </w:p>
    <w:p>
      <w:pPr>
        <w:pStyle w:val="49"/>
        <w:spacing w:line="480" w:lineRule="auto"/>
        <w:ind w:firstLine="482" w:firstLineChars="200"/>
        <w:rPr>
          <w:rFonts w:ascii="宋体" w:hAnsi="宋体" w:cs="宋体"/>
          <w:b/>
          <w:bCs/>
          <w:sz w:val="24"/>
          <w:szCs w:val="24"/>
        </w:rPr>
      </w:pPr>
      <w:r>
        <w:rPr>
          <w:rFonts w:hint="eastAsia" w:ascii="宋体" w:hAnsi="宋体" w:cs="宋体"/>
          <w:b/>
          <w:bCs/>
          <w:sz w:val="24"/>
          <w:szCs w:val="24"/>
        </w:rPr>
        <w:t>答疑</w:t>
      </w:r>
    </w:p>
    <w:p>
      <w:pPr>
        <w:pStyle w:val="49"/>
        <w:spacing w:line="480" w:lineRule="auto"/>
        <w:ind w:firstLine="480" w:firstLineChars="200"/>
        <w:rPr>
          <w:rFonts w:ascii="宋体" w:hAnsi="宋体" w:cs="宋体"/>
          <w:b/>
          <w:bCs/>
          <w:sz w:val="24"/>
          <w:szCs w:val="24"/>
        </w:rPr>
      </w:pPr>
      <w:r>
        <w:rPr>
          <w:rFonts w:hint="eastAsia" w:ascii="宋体" w:hAnsi="宋体" w:cs="宋体"/>
          <w:sz w:val="24"/>
          <w:szCs w:val="24"/>
        </w:rPr>
        <w:t>投标单位对招标文件如有疑问，请将疑问</w:t>
      </w:r>
      <w:r>
        <w:rPr>
          <w:rFonts w:hint="eastAsia" w:ascii="宋体" w:hAnsi="宋体" w:cs="宋体"/>
          <w:color w:val="000000" w:themeColor="text1"/>
          <w:sz w:val="24"/>
          <w:szCs w:val="24"/>
          <w14:textFill>
            <w14:solidFill>
              <w14:schemeClr w14:val="tx1"/>
            </w14:solidFill>
          </w14:textFill>
        </w:rPr>
        <w:t>于</w:t>
      </w:r>
      <w:r>
        <w:rPr>
          <w:rFonts w:hint="eastAsia" w:ascii="宋体" w:hAnsi="宋体" w:cs="宋体"/>
          <w:b/>
          <w:bCs/>
          <w:color w:val="000000" w:themeColor="text1"/>
          <w:sz w:val="24"/>
          <w:szCs w:val="24"/>
          <w14:textFill>
            <w14:solidFill>
              <w14:schemeClr w14:val="tx1"/>
            </w14:solidFill>
          </w14:textFill>
        </w:rPr>
        <w:t>2022年</w:t>
      </w: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cs="宋体"/>
          <w:b/>
          <w:bCs/>
          <w:color w:val="000000" w:themeColor="text1"/>
          <w:sz w:val="24"/>
          <w:szCs w:val="24"/>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日1</w:t>
      </w:r>
      <w:r>
        <w:rPr>
          <w:rFonts w:hint="eastAsia" w:ascii="宋体" w:hAnsi="宋体" w:cs="宋体"/>
          <w:b/>
          <w:bCs/>
          <w:sz w:val="24"/>
          <w:szCs w:val="24"/>
        </w:rPr>
        <w:t>7:00 前</w:t>
      </w:r>
      <w:r>
        <w:rPr>
          <w:rFonts w:hint="eastAsia" w:ascii="宋体" w:hAnsi="宋体" w:cs="宋体"/>
          <w:sz w:val="24"/>
          <w:szCs w:val="24"/>
        </w:rPr>
        <w:t>以书面形式递交至</w:t>
      </w:r>
      <w:r>
        <w:rPr>
          <w:rFonts w:hint="eastAsia" w:ascii="宋体" w:hAnsi="宋体" w:cs="宋体"/>
          <w:sz w:val="24"/>
          <w:szCs w:val="24"/>
          <w:lang w:eastAsia="zh-CN"/>
        </w:rPr>
        <w:t>常州市天宁区青龙街道办事处</w:t>
      </w:r>
      <w:r>
        <w:rPr>
          <w:rFonts w:hint="eastAsia" w:ascii="宋体" w:hAnsi="宋体" w:cs="宋体"/>
          <w:sz w:val="24"/>
          <w:szCs w:val="24"/>
          <w:lang w:val="en-US" w:eastAsia="zh-CN"/>
        </w:rPr>
        <w:t>及</w:t>
      </w:r>
      <w:r>
        <w:rPr>
          <w:rFonts w:hint="eastAsia" w:ascii="宋体" w:hAnsi="宋体" w:cs="宋体"/>
          <w:sz w:val="24"/>
          <w:szCs w:val="24"/>
        </w:rPr>
        <w:t>江苏畅誉项目管理有限公司</w:t>
      </w:r>
      <w:r>
        <w:rPr>
          <w:rFonts w:hint="eastAsia" w:ascii="宋体" w:hAnsi="宋体" w:cs="宋体"/>
          <w:b/>
          <w:bCs/>
          <w:sz w:val="24"/>
          <w:szCs w:val="24"/>
        </w:rPr>
        <w:t>（注：① 答疑文件须加盖投标单位公章；② 答疑文件以代理机构收到时间为准；否则代理机构有权拒收其答疑文件）。</w:t>
      </w:r>
      <w:bookmarkStart w:id="50" w:name="_Toc28359008"/>
      <w:bookmarkStart w:id="51" w:name="_Toc28359085"/>
      <w:bookmarkStart w:id="52" w:name="_Toc35393627"/>
      <w:bookmarkStart w:id="53" w:name="_Toc35393796"/>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ascii="宋体" w:hAnsi="宋体" w:cs="宋体"/>
          <w:b/>
          <w:sz w:val="24"/>
          <w:szCs w:val="24"/>
        </w:rPr>
      </w:pPr>
      <w:r>
        <w:rPr>
          <w:rFonts w:hint="eastAsia" w:ascii="宋体" w:hAnsi="宋体" w:cs="宋体"/>
          <w:b/>
          <w:sz w:val="24"/>
          <w:szCs w:val="24"/>
        </w:rPr>
        <w:t>八、对本次招标提出询问，请按以下方式联系。</w:t>
      </w:r>
      <w:bookmarkEnd w:id="50"/>
      <w:bookmarkEnd w:id="51"/>
      <w:bookmarkEnd w:id="52"/>
      <w:bookmarkEnd w:id="53"/>
    </w:p>
    <w:p>
      <w:pPr>
        <w:widowControl/>
        <w:snapToGrid w:val="0"/>
        <w:spacing w:line="360" w:lineRule="auto"/>
        <w:ind w:firstLine="480" w:firstLineChars="200"/>
        <w:jc w:val="left"/>
        <w:rPr>
          <w:rFonts w:hint="eastAsia" w:ascii="宋体" w:hAnsi="宋体" w:cs="宋体"/>
          <w:sz w:val="24"/>
          <w:szCs w:val="24"/>
        </w:rPr>
      </w:pPr>
      <w:bookmarkStart w:id="54" w:name="_Toc35393618"/>
      <w:bookmarkStart w:id="55" w:name="_Toc35393787"/>
      <w:bookmarkStart w:id="56" w:name="_Toc28358999"/>
      <w:bookmarkStart w:id="57" w:name="_Toc28359076"/>
      <w:r>
        <w:rPr>
          <w:rFonts w:hint="eastAsia" w:ascii="宋体" w:hAnsi="宋体" w:cs="宋体"/>
          <w:sz w:val="24"/>
          <w:szCs w:val="24"/>
        </w:rPr>
        <w:t>1.采购人信息：</w:t>
      </w:r>
    </w:p>
    <w:p>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常州市天宁区青龙街道办事处</w:t>
      </w:r>
    </w:p>
    <w:p>
      <w:pPr>
        <w:widowControl/>
        <w:snapToGrid w:val="0"/>
        <w:spacing w:line="480" w:lineRule="auto"/>
        <w:ind w:firstLine="480" w:firstLineChars="200"/>
        <w:jc w:val="left"/>
        <w:textAlignment w:val="center"/>
        <w:rPr>
          <w:rFonts w:ascii="宋体" w:hAnsi="宋体" w:cs="宋体"/>
          <w:spacing w:val="2"/>
          <w:sz w:val="24"/>
          <w:lang w:val="zh-CN"/>
        </w:rPr>
      </w:pPr>
      <w:r>
        <w:rPr>
          <w:rFonts w:hint="eastAsia" w:ascii="宋体" w:hAnsi="宋体" w:cs="宋体"/>
          <w:sz w:val="24"/>
          <w:szCs w:val="24"/>
        </w:rPr>
        <w:t>电 话：</w:t>
      </w:r>
      <w:r>
        <w:rPr>
          <w:rFonts w:ascii="宋体" w:hAnsi="宋体" w:cs="宋体"/>
          <w:spacing w:val="2"/>
          <w:sz w:val="24"/>
          <w:lang w:val="zh-CN"/>
        </w:rPr>
        <w:t>0519-85508920</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54"/>
      <w:bookmarkEnd w:id="55"/>
      <w:bookmarkEnd w:id="56"/>
      <w:bookmarkEnd w:id="57"/>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58" w:name="_Toc28359077"/>
      <w:bookmarkStart w:id="59" w:name="_Toc35393619"/>
      <w:bookmarkStart w:id="60" w:name="_Toc35393788"/>
      <w:bookmarkStart w:id="61" w:name="_Toc28359000"/>
    </w:p>
    <w:p>
      <w:pPr>
        <w:pStyle w:val="3"/>
      </w:pPr>
    </w:p>
    <w:bookmarkEnd w:id="58"/>
    <w:bookmarkEnd w:id="59"/>
    <w:bookmarkEnd w:id="60"/>
    <w:bookmarkEnd w:id="61"/>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p>
    <w:p>
      <w:pPr>
        <w:widowControl/>
        <w:snapToGrid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rPr>
        <w:t>电 话：0519-85508920</w:t>
      </w:r>
    </w:p>
    <w:p>
      <w:pPr>
        <w:snapToGrid w:val="0"/>
        <w:spacing w:line="360" w:lineRule="auto"/>
        <w:ind w:firstLine="480" w:firstLineChars="200"/>
        <w:rPr>
          <w:rFonts w:hint="eastAsia" w:ascii="宋体" w:hAnsi="宋体"/>
          <w:sz w:val="24"/>
          <w:szCs w:val="24"/>
          <w:lang w:val="en-US" w:eastAsia="zh-CN"/>
        </w:rPr>
      </w:pPr>
    </w:p>
    <w:p>
      <w:pPr>
        <w:snapToGrid w:val="0"/>
        <w:spacing w:line="360" w:lineRule="auto"/>
        <w:ind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注：</w:t>
      </w:r>
    </w:p>
    <w:p>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疫情防控措施</w:t>
      </w:r>
    </w:p>
    <w:p>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对于参与开评标活动的供应商、采购单位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pStyle w:val="2"/>
        <w:rPr>
          <w:rFonts w:hint="default" w:ascii="宋体" w:hAnsi="宋体" w:cs="宋体"/>
          <w:sz w:val="24"/>
          <w:szCs w:val="24"/>
          <w:lang w:val="en-US" w:eastAsia="zh-CN"/>
        </w:rPr>
      </w:pPr>
    </w:p>
    <w:p>
      <w:pPr>
        <w:widowControl/>
        <w:snapToGrid w:val="0"/>
        <w:spacing w:line="360" w:lineRule="auto"/>
        <w:ind w:firstLine="480" w:firstLineChars="200"/>
        <w:jc w:val="left"/>
        <w:rPr>
          <w:rFonts w:asciiTheme="minorEastAsia" w:hAnsiTheme="minorEastAsia" w:eastAsiaTheme="minorEastAsia" w:cstheme="minorEastAsia"/>
          <w:sz w:val="24"/>
          <w:szCs w:val="24"/>
          <w:shd w:val="clear" w:color="auto" w:fill="FFFFFF"/>
        </w:rPr>
      </w:pPr>
    </w:p>
    <w:p>
      <w:pPr>
        <w:widowControl/>
        <w:snapToGrid w:val="0"/>
        <w:spacing w:line="240" w:lineRule="exact"/>
        <w:ind w:firstLine="480" w:firstLineChars="200"/>
        <w:jc w:val="left"/>
        <w:rPr>
          <w:rFonts w:ascii="宋体" w:hAnsi="宋体" w:cs="宋体"/>
          <w:sz w:val="24"/>
          <w:szCs w:val="24"/>
        </w:rPr>
      </w:pPr>
    </w:p>
    <w:p>
      <w:pPr>
        <w:pStyle w:val="4"/>
        <w:keepNext w:val="0"/>
        <w:snapToGrid w:val="0"/>
        <w:spacing w:line="360" w:lineRule="auto"/>
        <w:ind w:left="0" w:firstLine="0"/>
        <w:rPr>
          <w:rFonts w:ascii="黑体" w:hAnsi="黑体" w:cs="黑体"/>
          <w:sz w:val="36"/>
          <w:szCs w:val="36"/>
        </w:rPr>
      </w:pPr>
      <w:r>
        <w:rPr>
          <w:rFonts w:hint="eastAsia" w:ascii="黑体" w:hAnsi="黑体" w:cs="黑体"/>
          <w:b w:val="0"/>
          <w:bCs/>
          <w:sz w:val="36"/>
          <w:szCs w:val="36"/>
        </w:rPr>
        <w:t>第一章   总  则</w:t>
      </w:r>
      <w:bookmarkEnd w:id="2"/>
      <w:bookmarkEnd w:id="3"/>
    </w:p>
    <w:p>
      <w:pPr>
        <w:snapToGrid w:val="0"/>
        <w:spacing w:line="480" w:lineRule="auto"/>
        <w:rPr>
          <w:rFonts w:ascii="宋体" w:hAnsi="宋体"/>
          <w:b/>
          <w:sz w:val="24"/>
          <w:szCs w:val="24"/>
        </w:rPr>
      </w:pPr>
      <w:r>
        <w:rPr>
          <w:rFonts w:hint="eastAsia" w:ascii="宋体" w:hAnsi="宋体"/>
          <w:b/>
          <w:sz w:val="24"/>
          <w:szCs w:val="24"/>
        </w:rPr>
        <w:t>一、招标项目：</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二、投标人的资格要求：</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三、投标费用</w:t>
      </w:r>
    </w:p>
    <w:p>
      <w:pPr>
        <w:snapToGrid w:val="0"/>
        <w:spacing w:line="48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480" w:lineRule="auto"/>
        <w:rPr>
          <w:rFonts w:ascii="宋体" w:hAnsi="宋体"/>
          <w:b/>
          <w:sz w:val="24"/>
          <w:szCs w:val="24"/>
        </w:rPr>
      </w:pPr>
      <w:r>
        <w:rPr>
          <w:rFonts w:hint="eastAsia" w:ascii="宋体" w:hAnsi="宋体"/>
          <w:b/>
          <w:sz w:val="24"/>
          <w:szCs w:val="24"/>
        </w:rPr>
        <w:t>四、招标文件</w:t>
      </w:r>
    </w:p>
    <w:p>
      <w:pPr>
        <w:snapToGrid w:val="0"/>
        <w:spacing w:line="48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48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48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48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48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更正公告</w:t>
      </w:r>
      <w:r>
        <w:rPr>
          <w:rFonts w:ascii="宋体" w:hAnsi="宋体"/>
          <w:color w:val="000000" w:themeColor="text1"/>
          <w:sz w:val="24"/>
          <w:szCs w:val="24"/>
          <w14:textFill>
            <w14:solidFill>
              <w14:schemeClr w14:val="tx1"/>
            </w14:solidFill>
          </w14:textFill>
        </w:rPr>
        <w:t>以</w:t>
      </w:r>
      <w:r>
        <w:rPr>
          <w:rFonts w:hint="eastAsia" w:ascii="宋体" w:hAnsi="宋体"/>
          <w:color w:val="000000" w:themeColor="text1"/>
          <w:sz w:val="24"/>
          <w:szCs w:val="24"/>
          <w14:textFill>
            <w14:solidFill>
              <w14:schemeClr w14:val="tx1"/>
            </w14:solidFill>
          </w14:textFill>
        </w:rPr>
        <w:t>江苏畅誉项目管理有限公司</w:t>
      </w:r>
      <w:r>
        <w:rPr>
          <w:rFonts w:ascii="宋体" w:hAnsi="宋体"/>
          <w:color w:val="000000" w:themeColor="text1"/>
          <w:sz w:val="24"/>
          <w:szCs w:val="24"/>
          <w14:textFill>
            <w14:solidFill>
              <w14:schemeClr w14:val="tx1"/>
            </w14:solidFill>
          </w14:textFill>
        </w:rPr>
        <w:t>网</w:t>
      </w:r>
      <w:r>
        <w:rPr>
          <w:rFonts w:hint="eastAsia" w:ascii="宋体" w:hAnsi="宋体"/>
          <w:color w:val="000000" w:themeColor="text1"/>
          <w:sz w:val="24"/>
          <w:szCs w:val="24"/>
          <w14:textFill>
            <w14:solidFill>
              <w14:schemeClr w14:val="tx1"/>
            </w14:solidFill>
          </w14:textFill>
        </w:rPr>
        <w:t>站（http://www.jschangyu.com/）及中国招投标网（https://www.zbytb.com/）</w:t>
      </w:r>
      <w:r>
        <w:rPr>
          <w:rFonts w:ascii="宋体" w:hAnsi="宋体"/>
          <w:color w:val="000000" w:themeColor="text1"/>
          <w:sz w:val="24"/>
          <w:szCs w:val="24"/>
          <w14:textFill>
            <w14:solidFill>
              <w14:schemeClr w14:val="tx1"/>
            </w14:solidFill>
          </w14:textFill>
        </w:rPr>
        <w:t>所发布的为准。</w:t>
      </w:r>
    </w:p>
    <w:p>
      <w:pPr>
        <w:snapToGrid w:val="0"/>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480" w:lineRule="auto"/>
        <w:rPr>
          <w:rFonts w:ascii="宋体" w:hAnsi="宋体"/>
          <w:b/>
          <w:sz w:val="24"/>
          <w:szCs w:val="24"/>
        </w:rPr>
      </w:pPr>
      <w:r>
        <w:rPr>
          <w:rFonts w:hint="eastAsia" w:ascii="宋体" w:hAnsi="宋体"/>
          <w:b/>
          <w:sz w:val="24"/>
          <w:szCs w:val="24"/>
        </w:rPr>
        <w:t>五、投标人的义务</w:t>
      </w:r>
    </w:p>
    <w:p>
      <w:pPr>
        <w:snapToGrid w:val="0"/>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、投标人应当按照招标文件的要求编制投标文件。投标文件应对招标文件提出的实质性要求和条件作出完全响应。</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48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48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48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48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48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48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48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48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48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4"/>
        <w:snapToGrid w:val="0"/>
        <w:spacing w:line="360" w:lineRule="auto"/>
        <w:ind w:left="0" w:firstLine="0"/>
        <w:rPr>
          <w:rFonts w:ascii="宋体" w:hAnsi="宋体" w:eastAsia="宋体" w:cs="黑体"/>
          <w:bCs/>
          <w:snapToGrid w:val="0"/>
          <w:spacing w:val="-6"/>
          <w:sz w:val="36"/>
          <w:szCs w:val="36"/>
        </w:rPr>
      </w:pPr>
      <w:r>
        <w:rPr>
          <w:rFonts w:hint="eastAsia" w:ascii="宋体" w:hAnsi="宋体" w:eastAsia="宋体" w:cs="黑体"/>
          <w:bCs/>
          <w:snapToGrid w:val="0"/>
          <w:spacing w:val="-6"/>
          <w:sz w:val="36"/>
          <w:szCs w:val="36"/>
        </w:rPr>
        <w:t>第二章 投标文件</w:t>
      </w:r>
      <w:bookmarkEnd w:id="4"/>
      <w:bookmarkEnd w:id="5"/>
      <w:bookmarkEnd w:id="6"/>
      <w:bookmarkEnd w:id="7"/>
    </w:p>
    <w:p>
      <w:pPr>
        <w:spacing w:line="480" w:lineRule="auto"/>
        <w:rPr>
          <w:rFonts w:ascii="宋体" w:hAnsi="宋体" w:cs="宋体"/>
          <w:b/>
          <w:sz w:val="24"/>
          <w:szCs w:val="24"/>
        </w:rPr>
      </w:pPr>
      <w:r>
        <w:rPr>
          <w:rFonts w:hint="eastAsia" w:ascii="宋体" w:hAnsi="宋体" w:cs="宋体"/>
          <w:b/>
          <w:sz w:val="24"/>
          <w:szCs w:val="24"/>
        </w:rPr>
        <w:t>一、资格审查材料，</w:t>
      </w:r>
      <w:r>
        <w:rPr>
          <w:rFonts w:hint="eastAsia" w:ascii="宋体" w:hAnsi="宋体" w:cs="宋体"/>
          <w:b/>
          <w:bCs/>
          <w:sz w:val="24"/>
          <w:szCs w:val="24"/>
        </w:rPr>
        <w:t>证明投标单位符合资格要求的证明材料包括但不限于以下材料（投标文件中提供的材料加盖公章，未加盖公章的视为未提供该项材料。同时按备注要求将原件（或公证件）在投标截止时间前随同投标文件一并提交以供核查，过时不予接收，否则视作无效投标）：</w:t>
      </w:r>
    </w:p>
    <w:p>
      <w:pPr>
        <w:spacing w:line="480" w:lineRule="auto"/>
        <w:rPr>
          <w:rFonts w:ascii="宋体" w:hAnsi="宋体" w:cs="宋体"/>
          <w:sz w:val="24"/>
          <w:szCs w:val="24"/>
        </w:rPr>
      </w:pPr>
      <w:r>
        <w:rPr>
          <w:rFonts w:hint="eastAsia" w:ascii="宋体" w:hAnsi="宋体" w:cs="宋体"/>
          <w:sz w:val="24"/>
          <w:szCs w:val="24"/>
        </w:rPr>
        <w:t>*1、法人资格证明文件及法定代表人身份证彩色复印件并加盖公章；</w:t>
      </w:r>
    </w:p>
    <w:p>
      <w:pPr>
        <w:spacing w:line="480" w:lineRule="auto"/>
        <w:rPr>
          <w:rFonts w:ascii="宋体" w:hAnsi="宋体" w:cs="宋体"/>
          <w:sz w:val="24"/>
          <w:szCs w:val="24"/>
        </w:rPr>
      </w:pPr>
      <w:r>
        <w:rPr>
          <w:rFonts w:hint="eastAsia" w:ascii="宋体" w:hAnsi="宋体" w:cs="宋体"/>
          <w:sz w:val="24"/>
          <w:szCs w:val="24"/>
        </w:rPr>
        <w:t>*2、授权委托书（如果有授权委托情况的，必须提供）；</w:t>
      </w:r>
    </w:p>
    <w:p>
      <w:pPr>
        <w:spacing w:line="480" w:lineRule="auto"/>
        <w:rPr>
          <w:rFonts w:ascii="宋体" w:hAnsi="宋体" w:cs="宋体"/>
          <w:sz w:val="24"/>
          <w:szCs w:val="24"/>
        </w:rPr>
      </w:pPr>
      <w:r>
        <w:rPr>
          <w:rFonts w:hint="eastAsia" w:ascii="宋体" w:hAnsi="宋体" w:cs="宋体"/>
          <w:sz w:val="24"/>
          <w:szCs w:val="24"/>
        </w:rPr>
        <w:t>*3、授权委托人身份证彩色复印件并加盖公章（如果有授权委托情况的，必须提供）；</w:t>
      </w:r>
    </w:p>
    <w:p>
      <w:pPr>
        <w:spacing w:line="480" w:lineRule="auto"/>
        <w:rPr>
          <w:rFonts w:ascii="宋体" w:hAnsi="宋体" w:cs="宋体"/>
          <w:sz w:val="24"/>
          <w:szCs w:val="24"/>
        </w:rPr>
      </w:pPr>
      <w:r>
        <w:rPr>
          <w:rFonts w:hint="eastAsia" w:ascii="宋体" w:hAnsi="宋体" w:cs="宋体"/>
          <w:sz w:val="24"/>
          <w:szCs w:val="24"/>
        </w:rPr>
        <w:t>*4、投标函；</w:t>
      </w:r>
    </w:p>
    <w:p>
      <w:pPr>
        <w:spacing w:line="480" w:lineRule="auto"/>
        <w:rPr>
          <w:rFonts w:ascii="宋体" w:hAnsi="宋体" w:cs="宋体"/>
          <w:sz w:val="24"/>
          <w:szCs w:val="24"/>
        </w:rPr>
      </w:pPr>
      <w:r>
        <w:rPr>
          <w:rFonts w:hint="eastAsia" w:ascii="宋体" w:hAnsi="宋体" w:cs="宋体"/>
          <w:sz w:val="24"/>
          <w:szCs w:val="24"/>
        </w:rPr>
        <w:t>*5、有效的营业执照副本；</w:t>
      </w:r>
    </w:p>
    <w:p>
      <w:pPr>
        <w:spacing w:line="480" w:lineRule="auto"/>
        <w:rPr>
          <w:rFonts w:ascii="宋体" w:hAnsi="宋体" w:cs="宋体"/>
          <w:sz w:val="24"/>
          <w:szCs w:val="24"/>
        </w:rPr>
      </w:pPr>
      <w:r>
        <w:rPr>
          <w:rFonts w:hint="eastAsia" w:ascii="宋体" w:hAnsi="宋体" w:cs="宋体"/>
          <w:sz w:val="24"/>
          <w:szCs w:val="24"/>
        </w:rPr>
        <w:t>*6、依法缴纳税收相关材料（如纳税证明等复印件并加盖公章）；</w:t>
      </w:r>
    </w:p>
    <w:p>
      <w:pPr>
        <w:spacing w:line="480" w:lineRule="auto"/>
        <w:rPr>
          <w:rFonts w:ascii="宋体" w:hAnsi="宋体" w:cs="宋体"/>
          <w:color w:val="auto"/>
          <w:sz w:val="24"/>
          <w:szCs w:val="24"/>
        </w:rPr>
      </w:pPr>
      <w:r>
        <w:rPr>
          <w:rFonts w:hint="eastAsia" w:ascii="宋体" w:hAnsi="宋体" w:cs="宋体"/>
          <w:color w:val="auto"/>
          <w:sz w:val="24"/>
          <w:szCs w:val="24"/>
        </w:rPr>
        <w:t>*7、所有参与本项目的人员的社保缴纳证明（提供复印件或扫描件并加盖公章）；</w:t>
      </w:r>
    </w:p>
    <w:p>
      <w:pPr>
        <w:spacing w:line="48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未被“信用中国”网站（www.creditchina.gov.cn）、“中国政府采购网”网站（www.ccgp.gov.cn）列入失信被执行人、重大税收违法案件当事人名单、政府采购严重失信行为记录证明——信用中国报告及政府采购严重违法失信行为信息记录（相关时间显示为本项目招标公告发布时间至投标截止前之间的任意时间）；</w:t>
      </w:r>
    </w:p>
    <w:p>
      <w:pPr>
        <w:spacing w:line="480" w:lineRule="auto"/>
        <w:rPr>
          <w:rFonts w:ascii="宋体" w:hAnsi="宋体" w:cs="宋体"/>
          <w:b/>
          <w:bCs/>
          <w:sz w:val="24"/>
          <w:szCs w:val="24"/>
        </w:rPr>
      </w:pPr>
      <w:r>
        <w:rPr>
          <w:rFonts w:hint="eastAsia" w:ascii="宋体" w:hAnsi="宋体" w:cs="宋体"/>
          <w:b/>
          <w:bCs/>
          <w:sz w:val="24"/>
          <w:szCs w:val="24"/>
        </w:rPr>
        <w:t>二、价格及有关商务部分材料</w:t>
      </w:r>
    </w:p>
    <w:p>
      <w:pPr>
        <w:spacing w:line="480" w:lineRule="auto"/>
        <w:rPr>
          <w:rFonts w:ascii="宋体" w:hAnsi="宋体" w:cs="宋体"/>
          <w:sz w:val="24"/>
          <w:szCs w:val="24"/>
        </w:rPr>
      </w:pPr>
      <w:r>
        <w:rPr>
          <w:rFonts w:hint="eastAsia" w:ascii="宋体" w:hAnsi="宋体" w:cs="宋体"/>
          <w:sz w:val="24"/>
          <w:szCs w:val="24"/>
        </w:rPr>
        <w:t>*1、开标一览表及报价分项表。</w:t>
      </w:r>
    </w:p>
    <w:p>
      <w:pPr>
        <w:numPr>
          <w:ilvl w:val="0"/>
          <w:numId w:val="4"/>
        </w:numPr>
        <w:spacing w:line="480" w:lineRule="auto"/>
        <w:rPr>
          <w:rFonts w:ascii="宋体" w:hAnsi="宋体" w:cs="宋体"/>
          <w:b/>
          <w:sz w:val="24"/>
          <w:szCs w:val="24"/>
        </w:rPr>
      </w:pPr>
      <w:r>
        <w:rPr>
          <w:rFonts w:hint="eastAsia" w:ascii="宋体" w:hAnsi="宋体" w:cs="宋体"/>
          <w:b/>
          <w:sz w:val="24"/>
          <w:szCs w:val="24"/>
        </w:rPr>
        <w:t>技术部分材料</w:t>
      </w:r>
    </w:p>
    <w:p>
      <w:pPr>
        <w:spacing w:line="480" w:lineRule="auto"/>
        <w:rPr>
          <w:rFonts w:ascii="宋体" w:hAnsi="宋体" w:cs="宋体"/>
          <w:sz w:val="24"/>
          <w:szCs w:val="24"/>
        </w:rPr>
      </w:pPr>
      <w:r>
        <w:rPr>
          <w:rFonts w:hint="eastAsia" w:ascii="宋体" w:hAnsi="宋体" w:cs="宋体"/>
          <w:sz w:val="24"/>
          <w:szCs w:val="24"/>
        </w:rPr>
        <w:t>1、投标人情况（含公司简介、典型项目介绍等）；</w:t>
      </w:r>
    </w:p>
    <w:p>
      <w:pPr>
        <w:spacing w:line="480" w:lineRule="auto"/>
        <w:rPr>
          <w:rFonts w:ascii="宋体" w:hAnsi="宋体" w:cs="宋体"/>
          <w:sz w:val="24"/>
          <w:szCs w:val="24"/>
        </w:rPr>
      </w:pPr>
      <w:r>
        <w:rPr>
          <w:rFonts w:hint="eastAsia" w:ascii="宋体" w:hAnsi="宋体" w:cs="宋体"/>
          <w:sz w:val="24"/>
          <w:szCs w:val="24"/>
        </w:rPr>
        <w:t>*2、承诺书；</w:t>
      </w:r>
    </w:p>
    <w:p>
      <w:pPr>
        <w:spacing w:line="480" w:lineRule="auto"/>
        <w:rPr>
          <w:rFonts w:ascii="宋体" w:hAnsi="宋体" w:cs="宋体"/>
          <w:sz w:val="24"/>
          <w:szCs w:val="24"/>
        </w:rPr>
      </w:pPr>
      <w:r>
        <w:rPr>
          <w:rFonts w:hint="eastAsia" w:ascii="宋体" w:hAnsi="宋体" w:cs="宋体"/>
          <w:sz w:val="24"/>
          <w:szCs w:val="24"/>
        </w:rPr>
        <w:t>*3、偏离表；</w:t>
      </w:r>
    </w:p>
    <w:p>
      <w:pPr>
        <w:spacing w:line="480" w:lineRule="auto"/>
        <w:rPr>
          <w:rFonts w:ascii="宋体" w:hAnsi="宋体" w:cs="宋体"/>
          <w:sz w:val="24"/>
          <w:szCs w:val="24"/>
        </w:rPr>
      </w:pPr>
      <w:r>
        <w:rPr>
          <w:rFonts w:hint="eastAsia" w:ascii="宋体" w:hAnsi="宋体" w:cs="宋体"/>
          <w:sz w:val="24"/>
          <w:szCs w:val="24"/>
        </w:rPr>
        <w:t>2、对本次投标其他方面的详细说明(投标人视需要自行编写)。</w:t>
      </w:r>
    </w:p>
    <w:p>
      <w:pPr>
        <w:spacing w:line="480" w:lineRule="auto"/>
        <w:rPr>
          <w:rFonts w:ascii="宋体" w:hAnsi="宋体" w:cs="宋体"/>
          <w:b/>
          <w:sz w:val="24"/>
          <w:szCs w:val="24"/>
        </w:rPr>
      </w:pPr>
      <w:r>
        <w:rPr>
          <w:rFonts w:hint="eastAsia" w:ascii="宋体" w:hAnsi="宋体" w:cs="宋体"/>
          <w:b/>
          <w:sz w:val="24"/>
          <w:szCs w:val="24"/>
        </w:rPr>
        <w:t>四、说明</w:t>
      </w:r>
    </w:p>
    <w:p>
      <w:pPr>
        <w:spacing w:line="480" w:lineRule="auto"/>
        <w:rPr>
          <w:rFonts w:ascii="宋体" w:hAnsi="宋体" w:cs="宋体"/>
          <w:b/>
          <w:bCs/>
          <w:color w:val="000000"/>
          <w:sz w:val="24"/>
          <w:szCs w:val="24"/>
        </w:rPr>
      </w:pPr>
      <w:r>
        <w:rPr>
          <w:rFonts w:hint="eastAsia" w:ascii="宋体" w:hAnsi="宋体" w:cs="宋体"/>
          <w:b/>
          <w:bCs/>
          <w:color w:val="000000"/>
          <w:sz w:val="24"/>
          <w:szCs w:val="24"/>
        </w:rPr>
        <w:t>1、上述带“*”条款投标单位必须在投标文件中提供，否则将作为无效响应处理。</w:t>
      </w:r>
    </w:p>
    <w:p>
      <w:pPr>
        <w:spacing w:line="480" w:lineRule="auto"/>
        <w:rPr>
          <w:rFonts w:ascii="宋体" w:hAnsi="宋体" w:cs="宋体"/>
          <w:color w:val="000000"/>
          <w:sz w:val="24"/>
          <w:szCs w:val="24"/>
        </w:rPr>
      </w:pPr>
      <w:r>
        <w:rPr>
          <w:rFonts w:hint="eastAsia" w:ascii="宋体" w:hAnsi="宋体" w:cs="宋体"/>
          <w:color w:val="000000"/>
          <w:sz w:val="24"/>
          <w:szCs w:val="24"/>
        </w:rPr>
        <w:t>2、对本章所有的格式 ，投标单位可根据自身情况进行补充和修改，但补充和修改不得造成与本格式内容有实质性的违背。投标单位可提供其它相关的证明材料（不限于此）。</w:t>
      </w:r>
    </w:p>
    <w:p>
      <w:pPr>
        <w:spacing w:line="480" w:lineRule="auto"/>
        <w:rPr>
          <w:sz w:val="24"/>
          <w:szCs w:val="28"/>
        </w:rPr>
      </w:pPr>
      <w:r>
        <w:rPr>
          <w:rFonts w:hint="eastAsia" w:ascii="宋体" w:hAnsi="宋体" w:cs="宋体"/>
          <w:color w:val="000000"/>
          <w:sz w:val="24"/>
          <w:szCs w:val="24"/>
        </w:rPr>
        <w:t>3、投标单位需按投标文件的组成要求进行编制。</w:t>
      </w:r>
    </w:p>
    <w:p>
      <w:pPr>
        <w:pStyle w:val="4"/>
        <w:keepNext w:val="0"/>
        <w:snapToGrid w:val="0"/>
        <w:spacing w:line="360" w:lineRule="auto"/>
        <w:ind w:left="0" w:firstLine="0"/>
        <w:rPr>
          <w:rFonts w:ascii="黑体" w:hAnsi="黑体" w:cs="黑体"/>
          <w:b w:val="0"/>
          <w:bCs/>
          <w:snapToGrid w:val="0"/>
          <w:spacing w:val="-6"/>
          <w:sz w:val="36"/>
          <w:szCs w:val="36"/>
        </w:rPr>
      </w:pPr>
      <w:r>
        <w:rPr>
          <w:rFonts w:hint="eastAsia" w:ascii="黑体" w:hAnsi="黑体" w:cs="黑体"/>
          <w:b w:val="0"/>
          <w:bCs/>
          <w:snapToGrid w:val="0"/>
          <w:spacing w:val="-6"/>
          <w:sz w:val="36"/>
          <w:szCs w:val="36"/>
        </w:rPr>
        <w:t>第三章 投标文件密封和提交</w:t>
      </w:r>
      <w:bookmarkEnd w:id="8"/>
      <w:bookmarkEnd w:id="9"/>
      <w:bookmarkEnd w:id="10"/>
      <w:bookmarkEnd w:id="11"/>
    </w:p>
    <w:p>
      <w:pPr>
        <w:snapToGrid w:val="0"/>
        <w:spacing w:line="480" w:lineRule="auto"/>
        <w:rPr>
          <w:rFonts w:ascii="宋体" w:hAnsi="宋体"/>
          <w:b/>
          <w:sz w:val="24"/>
          <w:szCs w:val="24"/>
        </w:rPr>
      </w:pPr>
      <w:bookmarkStart w:id="62" w:name="_Toc288738411"/>
      <w:bookmarkStart w:id="63" w:name="_Toc288738805"/>
      <w:bookmarkStart w:id="64" w:name="_Toc288738337"/>
      <w:r>
        <w:rPr>
          <w:rFonts w:hint="eastAsia" w:ascii="宋体" w:hAnsi="宋体"/>
          <w:b/>
          <w:sz w:val="24"/>
          <w:szCs w:val="24"/>
        </w:rPr>
        <w:t>一、投标文件的密封与标志</w:t>
      </w:r>
      <w:bookmarkEnd w:id="62"/>
      <w:bookmarkEnd w:id="63"/>
      <w:bookmarkEnd w:id="64"/>
    </w:p>
    <w:p>
      <w:pPr>
        <w:snapToGrid w:val="0"/>
        <w:spacing w:line="48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48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480" w:lineRule="auto"/>
        <w:rPr>
          <w:rFonts w:ascii="宋体" w:hAnsi="宋体"/>
          <w:b/>
          <w:sz w:val="24"/>
          <w:szCs w:val="24"/>
        </w:rPr>
      </w:pPr>
      <w:bookmarkStart w:id="65" w:name="_Toc288738806"/>
      <w:bookmarkStart w:id="66" w:name="_Toc288738412"/>
      <w:bookmarkStart w:id="67" w:name="_Toc288738338"/>
      <w:r>
        <w:rPr>
          <w:rFonts w:hint="eastAsia" w:ascii="宋体" w:hAnsi="宋体"/>
          <w:b/>
          <w:sz w:val="24"/>
          <w:szCs w:val="24"/>
        </w:rPr>
        <w:t>二、投标文件提交，截止时间和地</w:t>
      </w:r>
      <w:bookmarkEnd w:id="65"/>
      <w:bookmarkEnd w:id="66"/>
      <w:bookmarkEnd w:id="67"/>
      <w:r>
        <w:rPr>
          <w:rFonts w:hint="eastAsia" w:ascii="宋体" w:hAnsi="宋体"/>
          <w:b/>
          <w:sz w:val="24"/>
          <w:szCs w:val="24"/>
        </w:rPr>
        <w:t>点</w:t>
      </w:r>
    </w:p>
    <w:p>
      <w:pPr>
        <w:snapToGrid w:val="0"/>
        <w:spacing w:line="48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48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投标人在提交投标文件时须提供法定代表人或代理人身份证原件，未提供的，集中采购机构不接受其投标文件，不予参加开标和评审。</w:t>
      </w:r>
    </w:p>
    <w:p>
      <w:pPr>
        <w:snapToGrid w:val="0"/>
        <w:spacing w:line="480" w:lineRule="auto"/>
        <w:rPr>
          <w:rFonts w:ascii="宋体" w:hAnsi="宋体"/>
          <w:b/>
          <w:sz w:val="24"/>
          <w:szCs w:val="24"/>
        </w:rPr>
      </w:pPr>
      <w:bookmarkStart w:id="68" w:name="_Toc288738807"/>
      <w:bookmarkStart w:id="69" w:name="_Toc288738413"/>
      <w:bookmarkStart w:id="70" w:name="_Toc288738339"/>
      <w:r>
        <w:rPr>
          <w:rFonts w:hint="eastAsia" w:ascii="宋体" w:hAnsi="宋体"/>
          <w:b/>
          <w:sz w:val="24"/>
          <w:szCs w:val="24"/>
        </w:rPr>
        <w:t>三、投标文件的修改和撤回</w:t>
      </w:r>
      <w:bookmarkEnd w:id="68"/>
      <w:bookmarkEnd w:id="69"/>
      <w:bookmarkEnd w:id="70"/>
    </w:p>
    <w:p>
      <w:pPr>
        <w:adjustRightInd w:val="0"/>
        <w:snapToGrid w:val="0"/>
        <w:spacing w:line="48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480" w:lineRule="auto"/>
        <w:rPr>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第四章 投标报价</w:t>
      </w:r>
      <w:bookmarkEnd w:id="12"/>
      <w:bookmarkEnd w:id="13"/>
      <w:bookmarkEnd w:id="14"/>
      <w:bookmarkEnd w:id="15"/>
    </w:p>
    <w:p>
      <w:pPr>
        <w:snapToGrid w:val="0"/>
        <w:spacing w:line="480" w:lineRule="auto"/>
        <w:rPr>
          <w:rFonts w:ascii="宋体" w:hAnsi="宋体"/>
          <w:b/>
          <w:sz w:val="24"/>
          <w:szCs w:val="24"/>
        </w:rPr>
      </w:pPr>
      <w:bookmarkStart w:id="71" w:name="_Toc288738415"/>
      <w:bookmarkStart w:id="72" w:name="_Toc288738341"/>
      <w:bookmarkStart w:id="73" w:name="_Toc288738809"/>
      <w:r>
        <w:rPr>
          <w:rFonts w:hint="eastAsia" w:ascii="宋体" w:hAnsi="宋体"/>
          <w:b/>
          <w:sz w:val="24"/>
          <w:szCs w:val="24"/>
        </w:rPr>
        <w:t>一、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71"/>
      <w:bookmarkEnd w:id="72"/>
      <w:bookmarkEnd w:id="73"/>
    </w:p>
    <w:p>
      <w:pPr>
        <w:snapToGrid w:val="0"/>
        <w:spacing w:line="480" w:lineRule="auto"/>
        <w:rPr>
          <w:rFonts w:ascii="宋体" w:hAnsi="宋体"/>
          <w:sz w:val="24"/>
          <w:szCs w:val="24"/>
        </w:rPr>
      </w:pPr>
      <w:bookmarkStart w:id="74" w:name="_Toc288738810"/>
      <w:bookmarkStart w:id="75" w:name="_Toc288738416"/>
      <w:bookmarkStart w:id="76" w:name="_Toc288738342"/>
      <w:r>
        <w:rPr>
          <w:rFonts w:hint="eastAsia" w:ascii="宋体" w:hAnsi="宋体"/>
          <w:b/>
          <w:sz w:val="24"/>
          <w:szCs w:val="24"/>
        </w:rPr>
        <w:t>二、投标报价方式</w:t>
      </w:r>
      <w:bookmarkEnd w:id="74"/>
      <w:bookmarkEnd w:id="75"/>
      <w:bookmarkEnd w:id="76"/>
    </w:p>
    <w:p>
      <w:pPr>
        <w:snapToGrid w:val="0"/>
        <w:spacing w:line="48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48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48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48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pacing w:line="480" w:lineRule="auto"/>
        <w:ind w:firstLine="480" w:firstLineChars="200"/>
        <w:rPr>
          <w:rFonts w:ascii="宋体" w:hAnsi="宋体" w:cs="宋体"/>
          <w:sz w:val="24"/>
          <w:szCs w:val="24"/>
        </w:rPr>
      </w:pPr>
      <w:r>
        <w:rPr>
          <w:rFonts w:hint="eastAsia" w:ascii="宋体" w:hAnsi="宋体"/>
          <w:sz w:val="24"/>
          <w:szCs w:val="24"/>
        </w:rPr>
        <w:t>4、</w:t>
      </w:r>
      <w:r>
        <w:rPr>
          <w:rFonts w:hint="eastAsia" w:ascii="宋体" w:hAnsi="宋体" w:cs="宋体"/>
          <w:sz w:val="24"/>
          <w:szCs w:val="24"/>
        </w:rPr>
        <w:t>一项内容只允许一个报价，本项目不接受任何有选择性的报价或附条件的报价。</w:t>
      </w:r>
    </w:p>
    <w:p>
      <w:pPr>
        <w:spacing w:line="480" w:lineRule="auto"/>
        <w:rPr>
          <w:rFonts w:ascii="宋体" w:hAnsi="宋体" w:cs="宋体"/>
          <w:sz w:val="24"/>
          <w:szCs w:val="24"/>
        </w:rPr>
      </w:pPr>
      <w:r>
        <w:rPr>
          <w:rFonts w:hint="eastAsia" w:ascii="宋体" w:hAnsi="宋体" w:cs="宋体"/>
          <w:sz w:val="24"/>
          <w:szCs w:val="24"/>
        </w:rPr>
        <w:t>投标文件报价中的单价和总价全部采用人民币表示，除非合同的特殊条款另有规定。</w:t>
      </w:r>
    </w:p>
    <w:p>
      <w:pPr>
        <w:spacing w:line="480" w:lineRule="auto"/>
        <w:rPr>
          <w:rFonts w:ascii="宋体" w:hAnsi="宋体"/>
          <w:sz w:val="24"/>
          <w:szCs w:val="24"/>
        </w:rPr>
      </w:pPr>
      <w:r>
        <w:rPr>
          <w:rFonts w:hint="eastAsia" w:ascii="宋体" w:hAnsi="宋体" w:cs="宋体"/>
          <w:b/>
          <w:bCs/>
          <w:sz w:val="24"/>
          <w:szCs w:val="24"/>
        </w:rPr>
        <w:t>本工程采用固定综合单价承包，</w:t>
      </w:r>
      <w:r>
        <w:rPr>
          <w:rFonts w:hint="eastAsia" w:ascii="宋体" w:hAnsi="宋体"/>
          <w:sz w:val="24"/>
          <w:szCs w:val="24"/>
        </w:rPr>
        <w:t xml:space="preserve">本项目的最高限价为 </w:t>
      </w:r>
      <w:r>
        <w:rPr>
          <w:rFonts w:hint="eastAsia" w:ascii="宋体" w:hAnsi="宋体"/>
          <w:sz w:val="24"/>
          <w:szCs w:val="24"/>
          <w:u w:val="single"/>
        </w:rPr>
        <w:t xml:space="preserve"> </w:t>
      </w:r>
      <w:r>
        <w:rPr>
          <w:rFonts w:hint="eastAsia" w:ascii="宋体" w:hAnsi="宋体"/>
          <w:sz w:val="24"/>
          <w:szCs w:val="24"/>
          <w:u w:val="single"/>
          <w:lang w:eastAsia="zh-CN"/>
        </w:rPr>
        <w:t>595098.05</w:t>
      </w:r>
      <w:r>
        <w:rPr>
          <w:rFonts w:hint="eastAsia" w:ascii="宋体" w:hAnsi="宋体"/>
          <w:sz w:val="24"/>
          <w:szCs w:val="24"/>
          <w:u w:val="single"/>
          <w:lang w:val="en-US" w:eastAsia="zh-CN"/>
        </w:rPr>
        <w:t>元</w:t>
      </w:r>
      <w:r>
        <w:rPr>
          <w:rFonts w:hint="eastAsia" w:ascii="宋体" w:hAnsi="宋体"/>
          <w:sz w:val="24"/>
          <w:szCs w:val="24"/>
        </w:rPr>
        <w:t>，投标报价高于最高限价的作为无效投标处理。</w:t>
      </w:r>
    </w:p>
    <w:p>
      <w:pPr>
        <w:spacing w:line="480" w:lineRule="auto"/>
        <w:ind w:firstLine="480" w:firstLineChars="200"/>
        <w:rPr>
          <w:rFonts w:ascii="宋体" w:hAnsi="宋体"/>
          <w:b/>
          <w:sz w:val="24"/>
          <w:szCs w:val="24"/>
        </w:rPr>
      </w:pPr>
      <w:r>
        <w:rPr>
          <w:rFonts w:hint="eastAsia" w:ascii="宋体" w:hAnsi="宋体"/>
          <w:sz w:val="24"/>
          <w:szCs w:val="24"/>
        </w:rPr>
        <w:t>5、</w:t>
      </w:r>
      <w:r>
        <w:rPr>
          <w:rFonts w:hint="eastAsia" w:ascii="宋体" w:hAnsi="宋体"/>
          <w:b/>
          <w:bCs/>
          <w:sz w:val="24"/>
          <w:szCs w:val="24"/>
        </w:rPr>
        <w:t>投标人所报的各分项投标单价在合同履行过程中是固定不变的，不得以任何理由予以变更。任何包含价格调整要求的投标，</w:t>
      </w:r>
      <w:r>
        <w:rPr>
          <w:rFonts w:hint="eastAsia" w:ascii="宋体" w:hAnsi="宋体"/>
          <w:b/>
          <w:sz w:val="24"/>
          <w:szCs w:val="24"/>
        </w:rPr>
        <w:t>其投标将被认定为投标无效。</w:t>
      </w:r>
    </w:p>
    <w:p>
      <w:pPr>
        <w:pStyle w:val="19"/>
        <w:numPr>
          <w:ilvl w:val="0"/>
          <w:numId w:val="5"/>
        </w:numPr>
        <w:rPr>
          <w:rFonts w:hAnsi="宋体" w:cs="宋体"/>
          <w:sz w:val="24"/>
          <w:szCs w:val="24"/>
        </w:rPr>
      </w:pPr>
      <w:r>
        <w:rPr>
          <w:rFonts w:hint="eastAsia" w:hAnsi="宋体"/>
          <w:b/>
          <w:sz w:val="24"/>
          <w:szCs w:val="24"/>
        </w:rPr>
        <w:t>每项服务只能有一个投标报价，采购人不接受具有附加条件的报价</w:t>
      </w:r>
      <w:r>
        <w:rPr>
          <w:rFonts w:hAnsi="宋体"/>
          <w:b/>
          <w:sz w:val="24"/>
          <w:szCs w:val="24"/>
        </w:rPr>
        <w:t>，</w:t>
      </w:r>
      <w:r>
        <w:rPr>
          <w:rFonts w:hint="eastAsia" w:hAnsi="宋体"/>
          <w:b/>
          <w:sz w:val="24"/>
          <w:szCs w:val="24"/>
        </w:rPr>
        <w:t>含有附加条件的报价视为无效投标。</w:t>
      </w:r>
    </w:p>
    <w:p>
      <w:pPr>
        <w:pStyle w:val="19"/>
        <w:numPr>
          <w:ilvl w:val="0"/>
          <w:numId w:val="5"/>
        </w:numPr>
        <w:rPr>
          <w:rFonts w:hAnsi="宋体" w:cs="宋体"/>
          <w:sz w:val="24"/>
          <w:szCs w:val="24"/>
        </w:rPr>
      </w:pPr>
      <w:r>
        <w:rPr>
          <w:rFonts w:hint="eastAsia" w:hAnsi="宋体" w:cs="宋体"/>
          <w:sz w:val="24"/>
          <w:szCs w:val="24"/>
        </w:rPr>
        <w:t>本项目投标报价为</w:t>
      </w:r>
      <w:r>
        <w:rPr>
          <w:rFonts w:hint="eastAsia" w:hAnsi="宋体" w:cs="宋体"/>
          <w:b/>
          <w:bCs/>
          <w:sz w:val="24"/>
          <w:szCs w:val="24"/>
          <w:u w:val="single"/>
        </w:rPr>
        <w:t>固定综合单价</w:t>
      </w:r>
      <w:r>
        <w:rPr>
          <w:rFonts w:hint="eastAsia" w:hAnsi="宋体" w:cs="宋体"/>
          <w:sz w:val="24"/>
          <w:szCs w:val="24"/>
        </w:rPr>
        <w:t>，综合单价应包括但不限于招标文件及其基本技术要求范围内相应服务前的准备（包括现场踏勘等）、</w:t>
      </w:r>
      <w:r>
        <w:rPr>
          <w:rFonts w:hint="eastAsia" w:hAnsi="宋体" w:cs="宋体"/>
          <w:b/>
          <w:bCs/>
          <w:sz w:val="24"/>
          <w:szCs w:val="24"/>
        </w:rPr>
        <w:t>管理、劳务、培训、利润、税金、风险及政策性文件规定等各项应有费用，以及为完成招标文件规定的服务工作所涉及到的一切相关费用。投标人报价包括但不限于修理、保养维护等相关人工及培训费用及装修装饰维护、恢复等辅材费用。</w:t>
      </w:r>
      <w:r>
        <w:rPr>
          <w:rFonts w:hint="eastAsia" w:hAnsi="宋体" w:cs="宋体"/>
          <w:sz w:val="24"/>
          <w:szCs w:val="24"/>
        </w:rPr>
        <w:t>此外，除非合同条款中另有规定，否则，投标人所报价格在合同投标、实施期间不因市场变化因素而变动。</w:t>
      </w:r>
    </w:p>
    <w:p>
      <w:pPr>
        <w:snapToGrid w:val="0"/>
        <w:spacing w:line="480" w:lineRule="auto"/>
        <w:ind w:firstLine="480" w:firstLineChars="200"/>
        <w:rPr>
          <w:rFonts w:ascii="宋体" w:hAnsi="宋体"/>
          <w:bCs/>
          <w:sz w:val="24"/>
          <w:szCs w:val="24"/>
        </w:rPr>
      </w:pPr>
    </w:p>
    <w:p>
      <w:pPr>
        <w:spacing w:line="480" w:lineRule="auto"/>
        <w:rPr>
          <w:sz w:val="28"/>
          <w:szCs w:val="28"/>
        </w:rPr>
      </w:pPr>
    </w:p>
    <w:p>
      <w:pPr>
        <w:pStyle w:val="4"/>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第五章  开标、评标、定标</w:t>
      </w:r>
      <w:bookmarkEnd w:id="16"/>
      <w:bookmarkEnd w:id="17"/>
      <w:bookmarkEnd w:id="18"/>
      <w:bookmarkEnd w:id="19"/>
    </w:p>
    <w:p>
      <w:pPr>
        <w:snapToGrid w:val="0"/>
        <w:spacing w:line="480" w:lineRule="auto"/>
        <w:rPr>
          <w:rFonts w:ascii="宋体" w:hAnsi="宋体" w:cs="宋体"/>
          <w:b/>
          <w:sz w:val="24"/>
          <w:szCs w:val="24"/>
        </w:rPr>
      </w:pPr>
      <w:bookmarkStart w:id="77" w:name="_Toc288738344"/>
      <w:bookmarkStart w:id="78" w:name="_Toc288738418"/>
      <w:bookmarkStart w:id="79" w:name="_Toc288738812"/>
      <w:r>
        <w:rPr>
          <w:rFonts w:hint="eastAsia" w:ascii="宋体" w:hAnsi="宋体" w:cs="宋体"/>
          <w:b/>
          <w:sz w:val="24"/>
          <w:szCs w:val="24"/>
        </w:rPr>
        <w:t>一、答疑，开标评标会议时间和地点</w:t>
      </w:r>
      <w:bookmarkEnd w:id="77"/>
      <w:bookmarkEnd w:id="78"/>
      <w:bookmarkEnd w:id="7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480" w:lineRule="auto"/>
        <w:rPr>
          <w:rFonts w:ascii="宋体" w:hAnsi="宋体" w:cs="宋体"/>
          <w:b/>
          <w:sz w:val="24"/>
          <w:szCs w:val="24"/>
        </w:rPr>
      </w:pPr>
      <w:bookmarkStart w:id="80" w:name="_Toc288738813"/>
      <w:bookmarkStart w:id="81" w:name="_Toc288738345"/>
      <w:bookmarkStart w:id="82" w:name="_Toc288738419"/>
      <w:r>
        <w:rPr>
          <w:rFonts w:hint="eastAsia" w:ascii="宋体" w:hAnsi="宋体" w:cs="宋体"/>
          <w:b/>
          <w:sz w:val="24"/>
          <w:szCs w:val="24"/>
        </w:rPr>
        <w:t>二、评审、定标方法</w:t>
      </w:r>
      <w:bookmarkEnd w:id="80"/>
      <w:bookmarkEnd w:id="81"/>
      <w:bookmarkEnd w:id="82"/>
    </w:p>
    <w:p>
      <w:pPr>
        <w:spacing w:line="480" w:lineRule="auto"/>
        <w:ind w:firstLine="482" w:firstLineChars="200"/>
        <w:rPr>
          <w:rFonts w:ascii="宋体" w:hAnsi="宋体" w:cs="宋体"/>
          <w:b/>
          <w:sz w:val="24"/>
          <w:szCs w:val="24"/>
        </w:rPr>
      </w:pPr>
      <w:bookmarkStart w:id="83" w:name="_Toc288738346"/>
      <w:bookmarkStart w:id="84" w:name="_Toc288738814"/>
      <w:bookmarkStart w:id="85" w:name="_Toc288738420"/>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480" w:lineRule="auto"/>
        <w:rPr>
          <w:rFonts w:ascii="宋体" w:hAnsi="宋体" w:cs="宋体"/>
          <w:b/>
          <w:sz w:val="24"/>
          <w:szCs w:val="24"/>
        </w:rPr>
      </w:pPr>
      <w:r>
        <w:rPr>
          <w:rFonts w:hint="eastAsia" w:ascii="宋体" w:hAnsi="宋体" w:cs="宋体"/>
          <w:b/>
          <w:sz w:val="24"/>
          <w:szCs w:val="24"/>
        </w:rPr>
        <w:t>三、开标评标会</w:t>
      </w:r>
      <w:bookmarkEnd w:id="83"/>
      <w:bookmarkEnd w:id="84"/>
      <w:bookmarkEnd w:id="85"/>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480" w:lineRule="auto"/>
        <w:rPr>
          <w:rFonts w:ascii="宋体" w:hAnsi="宋体" w:cs="宋体"/>
          <w:sz w:val="24"/>
          <w:szCs w:val="24"/>
        </w:rPr>
      </w:pPr>
      <w:bookmarkStart w:id="86" w:name="_Toc288738347"/>
      <w:bookmarkStart w:id="87" w:name="_Toc288738815"/>
      <w:bookmarkStart w:id="88" w:name="_Toc288738421"/>
      <w:r>
        <w:rPr>
          <w:rFonts w:hint="eastAsia" w:ascii="宋体" w:hAnsi="宋体" w:cs="宋体"/>
          <w:b/>
          <w:sz w:val="24"/>
          <w:szCs w:val="24"/>
        </w:rPr>
        <w:t>四、</w:t>
      </w:r>
      <w:bookmarkEnd w:id="86"/>
      <w:bookmarkEnd w:id="87"/>
      <w:bookmarkEnd w:id="88"/>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480" w:lineRule="auto"/>
        <w:rPr>
          <w:rFonts w:ascii="宋体" w:hAnsi="宋体" w:cs="宋体"/>
          <w:sz w:val="24"/>
          <w:szCs w:val="24"/>
        </w:rPr>
      </w:pPr>
      <w:bookmarkStart w:id="89" w:name="_Toc288738348"/>
      <w:bookmarkStart w:id="90" w:name="_Toc288738422"/>
      <w:bookmarkStart w:id="91" w:name="_Toc288738816"/>
      <w:r>
        <w:rPr>
          <w:rFonts w:hint="eastAsia" w:ascii="宋体" w:hAnsi="宋体" w:cs="宋体"/>
          <w:b/>
          <w:sz w:val="24"/>
          <w:szCs w:val="24"/>
        </w:rPr>
        <w:t>五、</w:t>
      </w:r>
      <w:bookmarkEnd w:id="89"/>
      <w:bookmarkEnd w:id="90"/>
      <w:bookmarkEnd w:id="91"/>
      <w:r>
        <w:rPr>
          <w:rFonts w:hint="eastAsia" w:ascii="宋体" w:hAnsi="宋体" w:cs="宋体"/>
          <w:sz w:val="24"/>
          <w:szCs w:val="24"/>
        </w:rPr>
        <w:t>采购人或采购代理机构将对开标过程进行记录，由参加开标的各投标人代表签字确认，并存档备查。</w:t>
      </w:r>
    </w:p>
    <w:p>
      <w:pPr>
        <w:snapToGrid w:val="0"/>
        <w:spacing w:line="480" w:lineRule="auto"/>
        <w:rPr>
          <w:rFonts w:ascii="宋体" w:hAnsi="宋体" w:cs="宋体"/>
          <w:b/>
          <w:sz w:val="24"/>
          <w:szCs w:val="24"/>
        </w:rPr>
      </w:pPr>
      <w:bookmarkStart w:id="92" w:name="_Toc288738423"/>
      <w:bookmarkStart w:id="93" w:name="_Toc288738349"/>
      <w:bookmarkStart w:id="94" w:name="_Toc288738817"/>
      <w:r>
        <w:rPr>
          <w:rFonts w:hint="eastAsia" w:ascii="宋体" w:hAnsi="宋体" w:cs="宋体"/>
          <w:b/>
          <w:sz w:val="24"/>
          <w:szCs w:val="24"/>
        </w:rPr>
        <w:t>六、投标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92"/>
      <w:bookmarkEnd w:id="93"/>
      <w:bookmarkEnd w:id="94"/>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rPr>
        <w:t>2年内因违反招标投标规定收到行政处罚的；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480" w:lineRule="auto"/>
        <w:rPr>
          <w:rFonts w:ascii="宋体" w:hAnsi="宋体" w:cs="宋体"/>
          <w:b/>
          <w:sz w:val="24"/>
          <w:szCs w:val="24"/>
        </w:rPr>
      </w:pPr>
      <w:bookmarkStart w:id="95" w:name="_Toc288738424"/>
      <w:bookmarkStart w:id="96" w:name="_Toc288738818"/>
      <w:bookmarkStart w:id="97" w:name="_Toc288738350"/>
      <w:r>
        <w:rPr>
          <w:rFonts w:hint="eastAsia" w:ascii="宋体" w:hAnsi="宋体" w:cs="宋体"/>
          <w:b/>
          <w:sz w:val="24"/>
          <w:szCs w:val="24"/>
        </w:rPr>
        <w:t>七、评标、定标</w:t>
      </w:r>
      <w:bookmarkEnd w:id="95"/>
      <w:bookmarkEnd w:id="96"/>
      <w:bookmarkEnd w:id="97"/>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480" w:lineRule="auto"/>
        <w:rPr>
          <w:rFonts w:ascii="宋体" w:hAnsi="宋体" w:cs="宋体"/>
          <w:b/>
          <w:sz w:val="24"/>
          <w:szCs w:val="24"/>
        </w:rPr>
      </w:pPr>
      <w:r>
        <w:rPr>
          <w:rFonts w:hint="eastAsia" w:ascii="宋体" w:hAnsi="宋体" w:cs="宋体"/>
          <w:b/>
          <w:sz w:val="24"/>
          <w:szCs w:val="24"/>
        </w:rPr>
        <w:t>八、评审内容的保密</w:t>
      </w:r>
    </w:p>
    <w:p>
      <w:pPr>
        <w:pStyle w:val="8"/>
        <w:overflowPunct w:val="0"/>
        <w:spacing w:line="480" w:lineRule="auto"/>
        <w:ind w:firstLine="480"/>
        <w:rPr>
          <w:rFonts w:ascii="宋体" w:hAnsi="宋体" w:cs="宋体"/>
          <w:kern w:val="2"/>
          <w:szCs w:val="24"/>
        </w:rPr>
      </w:pPr>
      <w:r>
        <w:rPr>
          <w:rFonts w:hint="eastAsia" w:ascii="宋体" w:hAnsi="宋体" w:cs="宋体"/>
          <w:szCs w:val="24"/>
        </w:rPr>
        <w:t>1、</w:t>
      </w:r>
      <w:r>
        <w:rPr>
          <w:rFonts w:hint="eastAsia" w:ascii="宋体" w:hAnsi="宋体" w:cs="宋体"/>
          <w:kern w:val="2"/>
          <w:szCs w:val="24"/>
        </w:rPr>
        <w:t>磋商开始后，直到宣布授予成交供应商合同为止，凡属于审查、澄清、评价和比较磋商响应文件的所有资料，有关授予合同的信息都不应向供应商或与评审无关的其他人泄露。</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、在评审过程中，供应商不得以任何行为影响评审过程，否则其磋商响应文件将被作为无效磋商响应文件。</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、代理机构和磋商小组不向未成交的供应商解释未成交原因，也不公布评审过程中的相关细节。</w:t>
      </w:r>
    </w:p>
    <w:p>
      <w:pPr>
        <w:snapToGrid w:val="0"/>
        <w:spacing w:line="480" w:lineRule="auto"/>
        <w:rPr>
          <w:rFonts w:ascii="宋体" w:hAnsi="宋体" w:cs="宋体"/>
          <w:b/>
          <w:sz w:val="24"/>
          <w:szCs w:val="24"/>
        </w:rPr>
      </w:pPr>
      <w:bookmarkStart w:id="98" w:name="_Toc288738819"/>
      <w:bookmarkStart w:id="99" w:name="_Toc288738425"/>
      <w:bookmarkStart w:id="100" w:name="_Toc288738351"/>
      <w:r>
        <w:rPr>
          <w:rFonts w:hint="eastAsia" w:ascii="宋体" w:hAnsi="宋体" w:cs="宋体"/>
          <w:b/>
          <w:sz w:val="24"/>
          <w:szCs w:val="24"/>
        </w:rPr>
        <w:t>九、投标文件的澄清</w:t>
      </w:r>
      <w:bookmarkEnd w:id="98"/>
      <w:bookmarkEnd w:id="99"/>
      <w:bookmarkEnd w:id="100"/>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48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pStyle w:val="8"/>
        <w:overflowPunct w:val="0"/>
        <w:spacing w:line="480" w:lineRule="auto"/>
        <w:ind w:firstLine="0" w:firstLineChars="0"/>
        <w:rPr>
          <w:rFonts w:ascii="宋体" w:hAnsi="宋体" w:cs="宋体"/>
          <w:b/>
          <w:szCs w:val="24"/>
        </w:rPr>
      </w:pPr>
      <w:bookmarkStart w:id="101" w:name="_Toc288738352"/>
      <w:bookmarkStart w:id="102" w:name="_Toc288738426"/>
      <w:bookmarkStart w:id="103" w:name="_Toc288738820"/>
      <w:r>
        <w:rPr>
          <w:rFonts w:hint="eastAsia" w:ascii="宋体" w:hAnsi="宋体" w:cs="宋体"/>
          <w:b/>
          <w:szCs w:val="24"/>
        </w:rPr>
        <w:t>十、</w:t>
      </w:r>
      <w:bookmarkEnd w:id="101"/>
      <w:bookmarkEnd w:id="102"/>
      <w:bookmarkEnd w:id="103"/>
      <w:r>
        <w:rPr>
          <w:rFonts w:hint="eastAsia" w:hAnsi="宋体" w:cs="宋体"/>
          <w:b/>
          <w:szCs w:val="24"/>
        </w:rPr>
        <w:t>投标文件出现下列情况之一的，将作为无效投标文件处理，无效投标文件不予参加评标</w:t>
      </w:r>
      <w:r>
        <w:rPr>
          <w:rFonts w:hint="eastAsia" w:hAnsi="宋体" w:cs="宋体"/>
          <w:szCs w:val="24"/>
        </w:rPr>
        <w:t xml:space="preserve">： </w:t>
      </w:r>
    </w:p>
    <w:p>
      <w:pPr>
        <w:spacing w:line="480" w:lineRule="auto"/>
        <w:ind w:firstLine="499" w:firstLineChars="208"/>
        <w:rPr>
          <w:rFonts w:ascii="宋体" w:hAnsi="宋体" w:cs="宋体"/>
          <w:sz w:val="24"/>
          <w:szCs w:val="24"/>
        </w:rPr>
      </w:pPr>
      <w:bookmarkStart w:id="104" w:name="_Toc288738821"/>
      <w:bookmarkStart w:id="105" w:name="_Toc288738427"/>
      <w:bookmarkStart w:id="106" w:name="_Toc288738353"/>
      <w:r>
        <w:rPr>
          <w:rFonts w:hint="eastAsia" w:ascii="宋体" w:hAnsi="宋体" w:cs="宋体"/>
          <w:sz w:val="24"/>
          <w:szCs w:val="24"/>
        </w:rPr>
        <w:t>1.投标文件未按规定标志、密封、盖章的；</w:t>
      </w:r>
    </w:p>
    <w:p>
      <w:pPr>
        <w:spacing w:line="480" w:lineRule="auto"/>
        <w:ind w:firstLine="499" w:firstLineChars="208"/>
        <w:rPr>
          <w:rFonts w:ascii="宋体" w:hAnsi="宋体" w:cs="宋体"/>
          <w:sz w:val="24"/>
          <w:szCs w:val="24"/>
        </w:rPr>
      </w:pPr>
      <w:r>
        <w:rPr>
          <w:rFonts w:hint="eastAsia" w:ascii="宋体" w:hAnsi="宋体" w:cs="宋体"/>
          <w:sz w:val="24"/>
          <w:szCs w:val="24"/>
        </w:rPr>
        <w:t>2.投标文件未加盖投标单位公章的；</w:t>
      </w:r>
    </w:p>
    <w:p>
      <w:pPr>
        <w:spacing w:line="480" w:lineRule="auto"/>
        <w:ind w:firstLine="499" w:firstLineChars="208"/>
        <w:rPr>
          <w:rFonts w:ascii="宋体" w:hAnsi="宋体" w:cs="宋体"/>
          <w:sz w:val="24"/>
          <w:szCs w:val="24"/>
        </w:rPr>
      </w:pPr>
      <w:r>
        <w:rPr>
          <w:rFonts w:hint="eastAsia" w:ascii="宋体" w:hAnsi="宋体" w:cs="宋体"/>
          <w:sz w:val="24"/>
          <w:szCs w:val="24"/>
        </w:rPr>
        <w:t>3.法定代表人资格证明书或授权委托书未提供的、无投标单位公章的、无法定代表人或委托代理人签字或盖章的、非原件的；</w:t>
      </w:r>
    </w:p>
    <w:p>
      <w:pPr>
        <w:spacing w:line="480" w:lineRule="auto"/>
        <w:ind w:firstLine="499" w:firstLineChars="208"/>
        <w:rPr>
          <w:rFonts w:ascii="宋体" w:hAnsi="宋体" w:cs="宋体"/>
          <w:sz w:val="24"/>
          <w:szCs w:val="24"/>
        </w:rPr>
      </w:pPr>
      <w:r>
        <w:rPr>
          <w:rFonts w:hint="eastAsia" w:ascii="宋体" w:hAnsi="宋体" w:cs="宋体"/>
          <w:sz w:val="24"/>
          <w:szCs w:val="24"/>
        </w:rPr>
        <w:t>4.投标单位未通过报名的或者在名称上和法人地位上与报名情况发生实质性改变的；</w:t>
      </w:r>
    </w:p>
    <w:p>
      <w:pPr>
        <w:spacing w:line="480" w:lineRule="auto"/>
        <w:ind w:firstLine="499" w:firstLineChars="208"/>
        <w:rPr>
          <w:rFonts w:ascii="宋体" w:hAnsi="宋体" w:cs="宋体"/>
          <w:sz w:val="24"/>
          <w:szCs w:val="24"/>
        </w:rPr>
      </w:pPr>
      <w:r>
        <w:rPr>
          <w:rFonts w:hint="eastAsia" w:ascii="宋体" w:hAnsi="宋体" w:cs="宋体"/>
          <w:sz w:val="24"/>
          <w:szCs w:val="24"/>
        </w:rPr>
        <w:t>5.投标单位不符合招标文件中规定资格要求的，或者资格要求证明材料提供不齐全的；</w:t>
      </w:r>
    </w:p>
    <w:p>
      <w:pPr>
        <w:spacing w:line="480" w:lineRule="auto"/>
        <w:ind w:firstLine="499" w:firstLineChars="208"/>
        <w:rPr>
          <w:rFonts w:ascii="宋体" w:hAnsi="宋体" w:cs="宋体"/>
          <w:sz w:val="24"/>
          <w:szCs w:val="24"/>
        </w:rPr>
      </w:pPr>
      <w:r>
        <w:rPr>
          <w:rFonts w:hint="eastAsia" w:ascii="宋体" w:hAnsi="宋体" w:cs="宋体"/>
          <w:sz w:val="24"/>
          <w:szCs w:val="24"/>
        </w:rPr>
        <w:t>6.投标文件未按招标文件规定的格式、内容和要求编制，投标文件字迹潦草、模糊、难以辨认；</w:t>
      </w:r>
    </w:p>
    <w:p>
      <w:pPr>
        <w:spacing w:line="480" w:lineRule="auto"/>
        <w:ind w:firstLine="499" w:firstLineChars="208"/>
        <w:rPr>
          <w:rFonts w:ascii="宋体" w:hAnsi="宋体" w:cs="宋体"/>
          <w:sz w:val="24"/>
          <w:szCs w:val="24"/>
        </w:rPr>
      </w:pPr>
      <w:r>
        <w:rPr>
          <w:rFonts w:hint="eastAsia" w:ascii="宋体" w:hAnsi="宋体" w:cs="宋体"/>
          <w:sz w:val="24"/>
          <w:szCs w:val="24"/>
        </w:rPr>
        <w:t>7.投标单位在一份投标文件中，对同一招标项目报有两个或多个报价，且未书面确定以哪个报价为准的；</w:t>
      </w:r>
    </w:p>
    <w:p>
      <w:pPr>
        <w:spacing w:line="480" w:lineRule="auto"/>
        <w:ind w:firstLine="499" w:firstLineChars="208"/>
        <w:rPr>
          <w:rFonts w:ascii="宋体" w:hAnsi="宋体" w:cs="宋体"/>
          <w:sz w:val="24"/>
          <w:szCs w:val="24"/>
        </w:rPr>
      </w:pPr>
      <w:r>
        <w:rPr>
          <w:rFonts w:hint="eastAsia" w:ascii="宋体" w:hAnsi="宋体" w:cs="宋体"/>
          <w:sz w:val="24"/>
          <w:szCs w:val="24"/>
        </w:rPr>
        <w:t>8.投标单位在投标报价中存在严重错误，并影响对其他投标单位的评分的；</w:t>
      </w:r>
    </w:p>
    <w:p>
      <w:pPr>
        <w:spacing w:line="480" w:lineRule="auto"/>
        <w:ind w:firstLine="499" w:firstLineChars="208"/>
        <w:rPr>
          <w:rFonts w:ascii="宋体" w:hAnsi="宋体" w:cs="宋体"/>
          <w:sz w:val="24"/>
          <w:szCs w:val="24"/>
        </w:rPr>
      </w:pPr>
      <w:r>
        <w:rPr>
          <w:rFonts w:hint="eastAsia" w:ascii="宋体" w:hAnsi="宋体" w:cs="宋体"/>
          <w:sz w:val="24"/>
          <w:szCs w:val="24"/>
        </w:rPr>
        <w:t>9.投标文件材料所述情况和所附相关资料不实的；</w:t>
      </w:r>
    </w:p>
    <w:p>
      <w:pPr>
        <w:spacing w:line="480" w:lineRule="auto"/>
        <w:ind w:firstLine="499" w:firstLineChars="208"/>
        <w:rPr>
          <w:rFonts w:ascii="宋体" w:hAnsi="宋体" w:cs="宋体"/>
          <w:sz w:val="24"/>
          <w:szCs w:val="24"/>
        </w:rPr>
      </w:pPr>
      <w:r>
        <w:rPr>
          <w:rFonts w:hint="eastAsia" w:ascii="宋体" w:hAnsi="宋体" w:cs="宋体"/>
          <w:sz w:val="24"/>
          <w:szCs w:val="24"/>
        </w:rPr>
        <w:t>10.投标单位以他人的名义投标、串通投标、以行贿手段谋取中标或者以其他弄虚作假方式投标的。</w:t>
      </w:r>
    </w:p>
    <w:p>
      <w:pPr>
        <w:spacing w:line="480" w:lineRule="auto"/>
        <w:ind w:firstLine="499" w:firstLineChars="208"/>
        <w:rPr>
          <w:rFonts w:ascii="宋体" w:hAnsi="宋体" w:cs="宋体"/>
          <w:sz w:val="24"/>
          <w:szCs w:val="24"/>
        </w:rPr>
      </w:pPr>
      <w:r>
        <w:rPr>
          <w:rFonts w:hint="eastAsia" w:ascii="宋体" w:hAnsi="宋体" w:cs="宋体"/>
          <w:sz w:val="24"/>
          <w:szCs w:val="24"/>
        </w:rPr>
        <w:t>11.逾期送达的投标文件；</w:t>
      </w:r>
    </w:p>
    <w:p>
      <w:pPr>
        <w:spacing w:line="480" w:lineRule="auto"/>
        <w:ind w:firstLine="499" w:firstLineChars="208"/>
        <w:rPr>
          <w:rFonts w:ascii="宋体" w:hAnsi="宋体" w:cs="宋体"/>
          <w:sz w:val="24"/>
          <w:szCs w:val="24"/>
        </w:rPr>
      </w:pPr>
      <w:r>
        <w:rPr>
          <w:rFonts w:hint="eastAsia" w:ascii="宋体" w:hAnsi="宋体" w:cs="宋体"/>
          <w:sz w:val="24"/>
          <w:szCs w:val="24"/>
        </w:rPr>
        <w:t>12.未按招标文件要求缴纳投标保证金的；</w:t>
      </w:r>
    </w:p>
    <w:p>
      <w:pPr>
        <w:spacing w:line="480" w:lineRule="auto"/>
        <w:ind w:firstLine="499" w:firstLineChars="208"/>
        <w:rPr>
          <w:rFonts w:ascii="宋体" w:hAnsi="宋体" w:cs="宋体"/>
          <w:sz w:val="24"/>
          <w:szCs w:val="24"/>
        </w:rPr>
      </w:pPr>
      <w:r>
        <w:rPr>
          <w:rFonts w:hint="eastAsia" w:ascii="宋体" w:hAnsi="宋体" w:cs="宋体"/>
          <w:sz w:val="24"/>
          <w:szCs w:val="24"/>
        </w:rPr>
        <w:t>13.投标单位的投标报价超出采购预算或者最高限价的；</w:t>
      </w:r>
    </w:p>
    <w:p>
      <w:pPr>
        <w:spacing w:line="480" w:lineRule="auto"/>
        <w:ind w:firstLine="501" w:firstLineChars="208"/>
        <w:rPr>
          <w:rFonts w:ascii="宋体" w:hAnsi="宋体" w:cs="宋体"/>
          <w:b/>
          <w:sz w:val="24"/>
          <w:szCs w:val="24"/>
        </w:rPr>
      </w:pPr>
      <w:r>
        <w:rPr>
          <w:rFonts w:hint="eastAsia" w:ascii="宋体" w:hAnsi="宋体" w:cs="宋体"/>
          <w:b/>
          <w:sz w:val="24"/>
          <w:szCs w:val="24"/>
        </w:rPr>
        <w:t>14.评标委员会认为投标单位的报价明显低于其他通过符合性审查投标单位的报价，有可能影响产品质量或者不能诚信履约的，应当要求其在评标现场合理的时间内提供书面说明，必要时提交相关证明材料；投标单位不能证明其报价合理性的，评标委员会应当将其作为无效投标处理。</w:t>
      </w:r>
    </w:p>
    <w:p>
      <w:pPr>
        <w:spacing w:line="480" w:lineRule="auto"/>
        <w:ind w:firstLine="499" w:firstLineChars="208"/>
        <w:rPr>
          <w:rFonts w:ascii="宋体" w:hAnsi="宋体" w:cs="宋体"/>
          <w:sz w:val="24"/>
          <w:szCs w:val="24"/>
        </w:rPr>
      </w:pPr>
      <w:r>
        <w:rPr>
          <w:rFonts w:hint="eastAsia" w:ascii="宋体" w:hAnsi="宋体" w:cs="宋体"/>
          <w:sz w:val="24"/>
          <w:szCs w:val="24"/>
        </w:rPr>
        <w:t>15.招标文件明确规定无效的其他情形，或者其他被评委会认定无效的情况；</w:t>
      </w:r>
    </w:p>
    <w:p>
      <w:pPr>
        <w:spacing w:line="480" w:lineRule="auto"/>
        <w:ind w:firstLine="499" w:firstLineChars="208"/>
        <w:rPr>
          <w:rFonts w:ascii="宋体" w:hAnsi="宋体" w:cs="宋体"/>
          <w:sz w:val="24"/>
          <w:szCs w:val="24"/>
        </w:rPr>
      </w:pPr>
      <w:r>
        <w:rPr>
          <w:rFonts w:hint="eastAsia" w:ascii="宋体" w:hAnsi="宋体" w:cs="宋体"/>
          <w:sz w:val="24"/>
          <w:szCs w:val="24"/>
        </w:rPr>
        <w:t>16.投标文件含有招标单位不能接受的附加条件的；</w:t>
      </w:r>
    </w:p>
    <w:p>
      <w:pPr>
        <w:spacing w:line="480" w:lineRule="auto"/>
        <w:ind w:firstLine="499" w:firstLineChars="208"/>
        <w:rPr>
          <w:rFonts w:ascii="宋体" w:hAnsi="宋体" w:cs="宋体"/>
          <w:sz w:val="24"/>
          <w:szCs w:val="24"/>
        </w:rPr>
      </w:pPr>
      <w:r>
        <w:rPr>
          <w:rFonts w:hint="eastAsia" w:ascii="宋体" w:hAnsi="宋体" w:cs="宋体"/>
          <w:sz w:val="24"/>
          <w:szCs w:val="24"/>
        </w:rPr>
        <w:t>17.不符合法律、法规和招标文件规定的其他实质性要求的。</w:t>
      </w:r>
    </w:p>
    <w:p>
      <w:pPr>
        <w:spacing w:line="480" w:lineRule="auto"/>
        <w:rPr>
          <w:rFonts w:ascii="宋体" w:hAnsi="宋体" w:cs="宋体"/>
          <w:b/>
          <w:sz w:val="24"/>
          <w:szCs w:val="24"/>
        </w:rPr>
      </w:pPr>
      <w:r>
        <w:rPr>
          <w:rFonts w:hint="eastAsia" w:ascii="宋体" w:hAnsi="宋体" w:cs="宋体"/>
          <w:b/>
          <w:sz w:val="24"/>
          <w:szCs w:val="24"/>
        </w:rPr>
        <w:t>十一、有下列情形之一的，视为投标单位串通投标，投标无效：</w:t>
      </w:r>
    </w:p>
    <w:p>
      <w:pPr>
        <w:spacing w:line="480" w:lineRule="auto"/>
        <w:ind w:firstLine="499" w:firstLineChars="208"/>
        <w:rPr>
          <w:rFonts w:ascii="宋体" w:hAnsi="宋体" w:cs="宋体"/>
          <w:sz w:val="24"/>
          <w:szCs w:val="24"/>
        </w:rPr>
      </w:pPr>
      <w:r>
        <w:rPr>
          <w:rFonts w:hint="eastAsia" w:ascii="宋体" w:hAnsi="宋体" w:cs="宋体"/>
          <w:sz w:val="24"/>
          <w:szCs w:val="24"/>
        </w:rPr>
        <w:t>1.不同投标单位的投标文件由同一单位或者个人编制；</w:t>
      </w:r>
    </w:p>
    <w:p>
      <w:pPr>
        <w:spacing w:line="480" w:lineRule="auto"/>
        <w:ind w:firstLine="499" w:firstLineChars="208"/>
        <w:rPr>
          <w:rFonts w:ascii="宋体" w:hAnsi="宋体" w:cs="宋体"/>
          <w:sz w:val="24"/>
          <w:szCs w:val="24"/>
        </w:rPr>
      </w:pPr>
      <w:r>
        <w:rPr>
          <w:rFonts w:hint="eastAsia" w:ascii="宋体" w:hAnsi="宋体" w:cs="宋体"/>
          <w:sz w:val="24"/>
          <w:szCs w:val="24"/>
        </w:rPr>
        <w:t>2.不同投标单位委托同一单位或者个人办理投标事宜；</w:t>
      </w:r>
    </w:p>
    <w:p>
      <w:pPr>
        <w:spacing w:line="480" w:lineRule="auto"/>
        <w:ind w:firstLine="499" w:firstLineChars="208"/>
        <w:rPr>
          <w:rFonts w:ascii="宋体" w:hAnsi="宋体" w:cs="宋体"/>
          <w:sz w:val="24"/>
          <w:szCs w:val="24"/>
        </w:rPr>
      </w:pPr>
      <w:r>
        <w:rPr>
          <w:rFonts w:hint="eastAsia" w:ascii="宋体" w:hAnsi="宋体" w:cs="宋体"/>
          <w:sz w:val="24"/>
          <w:szCs w:val="24"/>
        </w:rPr>
        <w:t>3.不同投标单位的投标文件载明的项目管理成员或者联系人员为同一人；</w:t>
      </w:r>
    </w:p>
    <w:p>
      <w:pPr>
        <w:spacing w:line="480" w:lineRule="auto"/>
        <w:ind w:firstLine="499" w:firstLineChars="208"/>
        <w:rPr>
          <w:rFonts w:ascii="宋体" w:hAnsi="宋体" w:cs="宋体"/>
          <w:sz w:val="24"/>
          <w:szCs w:val="24"/>
        </w:rPr>
      </w:pPr>
      <w:r>
        <w:rPr>
          <w:rFonts w:hint="eastAsia" w:ascii="宋体" w:hAnsi="宋体" w:cs="宋体"/>
          <w:sz w:val="24"/>
          <w:szCs w:val="24"/>
        </w:rPr>
        <w:t>4.不同投标单位的投标文件异常一致或者投标报价呈规律性差异；</w:t>
      </w:r>
    </w:p>
    <w:p>
      <w:pPr>
        <w:spacing w:line="480" w:lineRule="auto"/>
        <w:ind w:firstLine="499" w:firstLineChars="208"/>
        <w:rPr>
          <w:rFonts w:ascii="宋体" w:hAnsi="宋体" w:cs="宋体"/>
          <w:sz w:val="24"/>
          <w:szCs w:val="24"/>
        </w:rPr>
      </w:pPr>
      <w:r>
        <w:rPr>
          <w:rFonts w:hint="eastAsia" w:ascii="宋体" w:hAnsi="宋体" w:cs="宋体"/>
          <w:sz w:val="24"/>
          <w:szCs w:val="24"/>
        </w:rPr>
        <w:t>5.不同投标单位的投标文件相互混装；</w:t>
      </w:r>
    </w:p>
    <w:p>
      <w:pPr>
        <w:spacing w:line="480" w:lineRule="auto"/>
        <w:ind w:firstLine="499" w:firstLineChars="208"/>
        <w:rPr>
          <w:rFonts w:ascii="宋体" w:hAnsi="宋体" w:cs="宋体"/>
          <w:sz w:val="24"/>
          <w:szCs w:val="24"/>
        </w:rPr>
      </w:pPr>
      <w:r>
        <w:rPr>
          <w:rFonts w:hint="eastAsia" w:ascii="宋体" w:hAnsi="宋体" w:cs="宋体"/>
          <w:sz w:val="24"/>
          <w:szCs w:val="24"/>
        </w:rPr>
        <w:t>6.不同投标单位的投标保证金从同一单位或者个人的账户转出。</w:t>
      </w:r>
    </w:p>
    <w:p>
      <w:pPr>
        <w:spacing w:line="480" w:lineRule="auto"/>
        <w:rPr>
          <w:rFonts w:ascii="宋体" w:hAnsi="宋体" w:cs="宋体"/>
          <w:b/>
          <w:kern w:val="0"/>
          <w:sz w:val="24"/>
          <w:szCs w:val="24"/>
        </w:rPr>
      </w:pPr>
      <w:r>
        <w:rPr>
          <w:rFonts w:hint="eastAsia" w:ascii="宋体" w:hAnsi="宋体" w:cs="宋体"/>
          <w:b/>
          <w:sz w:val="24"/>
          <w:szCs w:val="24"/>
        </w:rPr>
        <w:t>十二、废标、流标条款</w:t>
      </w:r>
    </w:p>
    <w:p>
      <w:pPr>
        <w:spacing w:line="480" w:lineRule="auto"/>
        <w:ind w:firstLine="480" w:firstLineChars="200"/>
        <w:rPr>
          <w:rFonts w:ascii="宋体" w:hAnsi="宋体" w:cs="宋体"/>
          <w:sz w:val="24"/>
          <w:szCs w:val="24"/>
        </w:rPr>
      </w:pPr>
      <w:r>
        <w:rPr>
          <w:rFonts w:hint="eastAsia" w:ascii="宋体" w:hAnsi="宋体" w:cs="宋体"/>
          <w:sz w:val="24"/>
          <w:szCs w:val="24"/>
        </w:rPr>
        <w:t>1.符合专业条件的投标单位或者对招标文件作实质性响应的投标单位不足三家的；</w:t>
      </w:r>
    </w:p>
    <w:p>
      <w:pPr>
        <w:spacing w:line="480" w:lineRule="auto"/>
        <w:ind w:firstLine="480" w:firstLineChars="200"/>
        <w:rPr>
          <w:rFonts w:ascii="宋体" w:hAnsi="宋体" w:cs="宋体"/>
          <w:sz w:val="24"/>
          <w:szCs w:val="24"/>
        </w:rPr>
      </w:pPr>
      <w:r>
        <w:rPr>
          <w:rFonts w:hint="eastAsia" w:ascii="宋体" w:hAnsi="宋体" w:cs="宋体"/>
          <w:sz w:val="24"/>
          <w:szCs w:val="24"/>
        </w:rPr>
        <w:t>2. 出现影响采购公正的违法、违规行为的；</w:t>
      </w:r>
    </w:p>
    <w:p>
      <w:pPr>
        <w:spacing w:line="480" w:lineRule="auto"/>
        <w:ind w:firstLine="480" w:firstLineChars="200"/>
        <w:rPr>
          <w:rFonts w:ascii="宋体" w:hAnsi="宋体" w:cs="宋体"/>
          <w:sz w:val="24"/>
          <w:szCs w:val="24"/>
        </w:rPr>
      </w:pPr>
      <w:r>
        <w:rPr>
          <w:rFonts w:hint="eastAsia" w:ascii="宋体" w:hAnsi="宋体" w:cs="宋体"/>
          <w:sz w:val="24"/>
          <w:szCs w:val="24"/>
        </w:rPr>
        <w:t>3.评标委员会认定招标文件存在歧义、重大缺陷导致评审工作无法进行；</w:t>
      </w:r>
    </w:p>
    <w:p>
      <w:pPr>
        <w:spacing w:line="480" w:lineRule="auto"/>
        <w:ind w:firstLine="480" w:firstLineChars="200"/>
        <w:rPr>
          <w:rFonts w:ascii="宋体" w:hAnsi="宋体" w:cs="宋体"/>
          <w:sz w:val="24"/>
          <w:szCs w:val="24"/>
        </w:rPr>
      </w:pPr>
      <w:r>
        <w:rPr>
          <w:rFonts w:hint="eastAsia" w:ascii="宋体" w:hAnsi="宋体" w:cs="宋体"/>
          <w:sz w:val="24"/>
          <w:szCs w:val="24"/>
        </w:rPr>
        <w:t>4. 因重大变故，采购任务取消的。</w:t>
      </w:r>
    </w:p>
    <w:p>
      <w:pPr>
        <w:snapToGrid w:val="0"/>
        <w:spacing w:line="480" w:lineRule="auto"/>
        <w:rPr>
          <w:rFonts w:ascii="宋体" w:hAnsi="宋体" w:cs="宋体"/>
          <w:b/>
          <w:sz w:val="24"/>
          <w:szCs w:val="24"/>
        </w:rPr>
      </w:pPr>
      <w:r>
        <w:rPr>
          <w:rFonts w:hint="eastAsia" w:ascii="宋体" w:hAnsi="宋体" w:cs="宋体"/>
          <w:b/>
          <w:sz w:val="24"/>
          <w:szCs w:val="24"/>
        </w:rPr>
        <w:t>十三、中标通知</w:t>
      </w:r>
      <w:bookmarkEnd w:id="104"/>
      <w:bookmarkEnd w:id="105"/>
      <w:bookmarkEnd w:id="106"/>
    </w:p>
    <w:p>
      <w:pPr>
        <w:pStyle w:val="8"/>
        <w:overflowPunct w:val="0"/>
        <w:spacing w:line="480" w:lineRule="auto"/>
        <w:ind w:firstLine="480"/>
        <w:rPr>
          <w:rFonts w:ascii="宋体" w:hAnsi="宋体" w:cs="宋体"/>
          <w:szCs w:val="24"/>
        </w:rPr>
      </w:pPr>
      <w:r>
        <w:rPr>
          <w:rFonts w:hint="eastAsia" w:ascii="宋体" w:hAnsi="宋体" w:cs="宋体"/>
          <w:szCs w:val="24"/>
        </w:rPr>
        <w:t>1.代理机构将中标结果在</w:t>
      </w:r>
      <w:r>
        <w:rPr>
          <w:rFonts w:hint="eastAsia" w:ascii="宋体" w:hAnsi="宋体" w:cs="宋体"/>
          <w:b/>
          <w:bCs/>
          <w:szCs w:val="24"/>
        </w:rPr>
        <w:t>江苏畅誉项目管理有限公司网站（http://www.jschangyu.com/）</w:t>
      </w:r>
      <w:r>
        <w:rPr>
          <w:rFonts w:hint="eastAsia" w:ascii="宋体" w:hAnsi="宋体" w:cs="宋体"/>
          <w:szCs w:val="24"/>
        </w:rPr>
        <w:t>上予以公告。</w:t>
      </w:r>
      <w:r>
        <w:rPr>
          <w:rFonts w:hint="eastAsia" w:ascii="宋体" w:hAnsi="宋体" w:cs="宋体"/>
          <w:color w:val="auto"/>
          <w:szCs w:val="24"/>
        </w:rPr>
        <w:t>公告期限为</w:t>
      </w:r>
      <w:r>
        <w:rPr>
          <w:rFonts w:ascii="宋体" w:hAnsi="宋体" w:cs="宋体"/>
          <w:color w:val="auto"/>
          <w:szCs w:val="24"/>
        </w:rPr>
        <w:t>1</w:t>
      </w:r>
      <w:r>
        <w:rPr>
          <w:rFonts w:hint="eastAsia" w:ascii="宋体" w:hAnsi="宋体" w:cs="宋体"/>
          <w:color w:val="auto"/>
          <w:szCs w:val="24"/>
        </w:rPr>
        <w:t>个工作日</w:t>
      </w:r>
      <w:r>
        <w:rPr>
          <w:rFonts w:hint="eastAsia" w:ascii="宋体" w:hAnsi="宋体" w:cs="宋体"/>
          <w:szCs w:val="24"/>
        </w:rPr>
        <w:t>。各参加供应商如对公示结果有异议，应在有效质疑期内（中标公告发布起七个工作日），以书面形式向代理机构提出，同时出具相关证明材料，该质疑必须由供应商法定代表人或参加投标的授权委托代理人签署以及供应商盖章方为有效。</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2.若有充分证据证明，中标单位出现下列情况之一的，一经查实，将被取消中标资格：</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2.1提供虚假材料谋取中标的；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2.2向招标单位、代理机构行贿或者提供其他不正当利益的。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2.3恶意竞争，投标总报价明显低于其自身合理成本且又无法提供证明的。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2.4属于本文件规定的无效条件，但在评标过程中又未被评委会发现的。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2.5与招标单位或者其他投标单位恶意串通的。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2.6采取不正当手段诋毁、排挤其他投标单位的。</w:t>
      </w:r>
    </w:p>
    <w:p>
      <w:pPr>
        <w:pStyle w:val="8"/>
        <w:overflowPunct w:val="0"/>
        <w:spacing w:line="480" w:lineRule="auto"/>
        <w:ind w:firstLine="480"/>
        <w:rPr>
          <w:rFonts w:ascii="宋体" w:hAnsi="宋体" w:cs="宋体"/>
          <w:szCs w:val="24"/>
        </w:rPr>
      </w:pPr>
      <w:r>
        <w:rPr>
          <w:rFonts w:hint="eastAsia" w:ascii="宋体" w:hAnsi="宋体" w:cs="宋体"/>
          <w:szCs w:val="24"/>
        </w:rPr>
        <w:t>2.7不符合法律、法规的规定的。</w:t>
      </w:r>
    </w:p>
    <w:p>
      <w:pPr>
        <w:pStyle w:val="8"/>
        <w:overflowPunct w:val="0"/>
        <w:spacing w:line="480" w:lineRule="auto"/>
        <w:ind w:firstLine="480"/>
        <w:rPr>
          <w:rFonts w:ascii="宋体" w:hAnsi="宋体" w:cs="宋体"/>
          <w:szCs w:val="24"/>
        </w:rPr>
      </w:pPr>
      <w:r>
        <w:rPr>
          <w:rFonts w:hint="eastAsia" w:ascii="宋体" w:hAnsi="宋体" w:cs="宋体"/>
          <w:szCs w:val="24"/>
        </w:rPr>
        <w:t>3 .投标单位认为采购文件、采购过程和采购结果使自己的权益受到损害的，可以在知道或应知其权益受到损害之日起七个工作日内，以书面形式向代理机构或招标单位提出质疑。该质疑应当有明确的请求和必要的证明材料，同时该质疑应有投标单位法定代表人或参加投标的授权委托人签署并加盖公章(原件)。代理机构将在收到经投标单位法定代表人或参加投标的授权委托人签署和盖公章(原件)的书面质疑后七个工作日内，对质疑内容做出答复。如投标单位在中标公告期限届满之日起七个工作日后向代理机构提出质疑或质疑未经投标单位法定代表人或参加投标的授权委托人签署或加盖公章(原件)或未提供明确的请求和必要的证明材料的，代理机构有权对该质疑不予答复（法律法规另有其他规定的除外）。投标单位提出书面质疑必须有理、有据，不得恶意质疑或提交虚假质疑。否则，一经查实，代理机构有权依据有关规定，报请采购监管部门对该投标单位进行相应的处罚。</w:t>
      </w:r>
    </w:p>
    <w:p>
      <w:pPr>
        <w:pStyle w:val="8"/>
        <w:overflowPunct w:val="0"/>
        <w:spacing w:line="480" w:lineRule="auto"/>
        <w:ind w:firstLine="480"/>
        <w:rPr>
          <w:rFonts w:ascii="宋体" w:hAnsi="宋体" w:cs="宋体"/>
          <w:szCs w:val="24"/>
        </w:rPr>
      </w:pPr>
      <w:r>
        <w:rPr>
          <w:rFonts w:hint="eastAsia" w:ascii="宋体" w:hAnsi="宋体" w:cs="宋体"/>
          <w:szCs w:val="24"/>
        </w:rPr>
        <w:t>未参加投标活动的投标单位或在投标活动中自身权益未受到损害的投标单位所提出的质疑不予受理。</w:t>
      </w:r>
    </w:p>
    <w:p>
      <w:pPr>
        <w:pStyle w:val="8"/>
        <w:overflowPunct w:val="0"/>
        <w:spacing w:line="480" w:lineRule="auto"/>
        <w:ind w:firstLine="480"/>
        <w:rPr>
          <w:rFonts w:ascii="宋体" w:hAnsi="宋体" w:cs="宋体"/>
          <w:szCs w:val="24"/>
        </w:rPr>
      </w:pPr>
      <w:r>
        <w:rPr>
          <w:rFonts w:hint="eastAsia" w:ascii="宋体" w:hAnsi="宋体" w:cs="宋体"/>
          <w:szCs w:val="24"/>
        </w:rPr>
        <w:t>中标公示期间，如有参加投标的投标单位提出有效质疑，并因此可能对中标结果产生影响，而最终被取消中标的，代理机构对中标单位不承担任何责任。</w:t>
      </w:r>
    </w:p>
    <w:p>
      <w:pPr>
        <w:pStyle w:val="8"/>
        <w:overflowPunct w:val="0"/>
        <w:spacing w:line="480" w:lineRule="auto"/>
        <w:ind w:firstLine="482"/>
        <w:rPr>
          <w:rFonts w:ascii="宋体" w:hAnsi="宋体" w:cs="宋体"/>
          <w:b/>
          <w:szCs w:val="24"/>
        </w:rPr>
      </w:pPr>
      <w:r>
        <w:rPr>
          <w:rFonts w:hint="eastAsia" w:ascii="宋体" w:hAnsi="宋体" w:cs="宋体"/>
          <w:b/>
          <w:szCs w:val="24"/>
        </w:rPr>
        <w:t>4.中标通知书</w:t>
      </w:r>
    </w:p>
    <w:p>
      <w:pPr>
        <w:pStyle w:val="8"/>
        <w:overflowPunct w:val="0"/>
        <w:spacing w:line="480" w:lineRule="auto"/>
        <w:ind w:firstLine="480"/>
        <w:rPr>
          <w:rFonts w:ascii="宋体" w:hAnsi="宋体" w:cs="宋体"/>
          <w:b/>
          <w:szCs w:val="24"/>
        </w:rPr>
      </w:pPr>
      <w:r>
        <w:rPr>
          <w:rFonts w:hint="eastAsia" w:ascii="宋体" w:hAnsi="宋体" w:cs="宋体"/>
          <w:szCs w:val="24"/>
        </w:rPr>
        <w:t>4.1 中标结果确定后，代理机构将向中标单位发出中标通知书。</w:t>
      </w:r>
    </w:p>
    <w:p>
      <w:pPr>
        <w:pStyle w:val="8"/>
        <w:overflowPunct w:val="0"/>
        <w:spacing w:line="480" w:lineRule="auto"/>
        <w:ind w:firstLine="480"/>
        <w:rPr>
          <w:rFonts w:ascii="宋体" w:hAnsi="宋体" w:cs="宋体"/>
          <w:b/>
          <w:szCs w:val="24"/>
        </w:rPr>
      </w:pPr>
      <w:r>
        <w:rPr>
          <w:rFonts w:hint="eastAsia" w:ascii="宋体" w:hAnsi="宋体" w:cs="宋体"/>
          <w:szCs w:val="24"/>
        </w:rPr>
        <w:t>4.2 中标通知书对招标单位和中标单位具有法律约束力。中标通知书发出后，招标单位改变中标结果或者中标单位放弃中标，均应当承担相应的法律责任，且不影响中标服务费的支付。</w:t>
      </w:r>
    </w:p>
    <w:p>
      <w:pPr>
        <w:spacing w:line="480" w:lineRule="auto"/>
        <w:ind w:firstLine="480" w:firstLineChars="200"/>
        <w:rPr>
          <w:rFonts w:ascii="宋体" w:hAnsi="宋体" w:cs="宋体"/>
          <w:sz w:val="24"/>
          <w:szCs w:val="24"/>
        </w:rPr>
      </w:pPr>
      <w:r>
        <w:rPr>
          <w:rFonts w:hint="eastAsia" w:ascii="宋体" w:hAnsi="宋体" w:cs="宋体"/>
          <w:sz w:val="24"/>
          <w:szCs w:val="24"/>
        </w:rPr>
        <w:t>4.3 代理机构及招标单位对未中标单位不承担解释未中标原因的义务。</w:t>
      </w:r>
    </w:p>
    <w:p>
      <w:pPr>
        <w:spacing w:line="480" w:lineRule="auto"/>
        <w:jc w:val="left"/>
        <w:rPr>
          <w:rFonts w:ascii="宋体" w:hAnsi="宋体" w:cs="宋体"/>
          <w:b/>
          <w:bCs/>
          <w:sz w:val="24"/>
          <w:szCs w:val="24"/>
        </w:rPr>
      </w:pPr>
      <w:r>
        <w:rPr>
          <w:rFonts w:hint="eastAsia" w:ascii="宋体" w:hAnsi="宋体" w:cs="宋体"/>
          <w:b/>
          <w:bCs/>
          <w:sz w:val="24"/>
          <w:szCs w:val="24"/>
        </w:rPr>
        <w:t>十四、招标平台服务费</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开户银行：江南农村商业银行股份有限公司常州市东青支行</w:t>
      </w:r>
    </w:p>
    <w:p>
      <w:pPr>
        <w:spacing w:line="48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48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6"/>
        <w:spacing w:line="360" w:lineRule="auto"/>
        <w:rPr>
          <w:rFonts w:hAnsi="宋体"/>
          <w:color w:val="auto"/>
          <w:sz w:val="28"/>
          <w:szCs w:val="28"/>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480" w:lineRule="auto"/>
        <w:ind w:firstLine="480" w:firstLineChars="200"/>
        <w:rPr>
          <w:rFonts w:ascii="宋体" w:hAnsi="宋体" w:cs="宋体"/>
          <w:bCs/>
          <w:sz w:val="24"/>
          <w:szCs w:val="24"/>
        </w:rPr>
      </w:pPr>
    </w:p>
    <w:p>
      <w:pPr>
        <w:spacing w:line="48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48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480" w:lineRule="auto"/>
        <w:rPr>
          <w:rFonts w:ascii="宋体" w:hAnsi="宋体" w:cs="宋体"/>
          <w:b/>
          <w:sz w:val="24"/>
          <w:szCs w:val="24"/>
        </w:rPr>
      </w:pPr>
      <w:bookmarkStart w:id="107" w:name="_Toc288738822"/>
      <w:bookmarkStart w:id="108" w:name="_Toc288738354"/>
      <w:bookmarkStart w:id="109" w:name="_Toc288738428"/>
      <w:r>
        <w:rPr>
          <w:rFonts w:hint="eastAsia" w:ascii="宋体" w:hAnsi="宋体" w:cs="宋体"/>
          <w:b/>
          <w:sz w:val="24"/>
          <w:szCs w:val="24"/>
        </w:rPr>
        <w:t>十五、授予合同，合同条款</w:t>
      </w:r>
      <w:bookmarkEnd w:id="107"/>
      <w:bookmarkEnd w:id="108"/>
      <w:bookmarkEnd w:id="10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48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480" w:lineRule="auto"/>
        <w:rPr>
          <w:rFonts w:ascii="宋体" w:hAnsi="宋体" w:cs="宋体"/>
          <w:b/>
          <w:sz w:val="24"/>
          <w:szCs w:val="24"/>
        </w:rPr>
      </w:pPr>
      <w:r>
        <w:rPr>
          <w:rFonts w:hint="eastAsia" w:ascii="宋体" w:hAnsi="宋体" w:cs="宋体"/>
          <w:b/>
          <w:sz w:val="24"/>
          <w:szCs w:val="24"/>
        </w:rPr>
        <w:t>十六、政府采购政策功能</w:t>
      </w:r>
    </w:p>
    <w:p>
      <w:pPr>
        <w:spacing w:line="48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48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48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480" w:lineRule="auto"/>
        <w:rPr>
          <w:rFonts w:ascii="宋体" w:hAnsi="宋体" w:cs="宋体"/>
          <w:b/>
          <w:sz w:val="24"/>
          <w:szCs w:val="24"/>
        </w:rPr>
      </w:pPr>
      <w:r>
        <w:rPr>
          <w:rFonts w:hint="eastAsia" w:ascii="宋体" w:hAnsi="宋体" w:cs="宋体"/>
          <w:b/>
          <w:sz w:val="24"/>
          <w:szCs w:val="24"/>
        </w:rPr>
        <w:t>十七、投标人质疑的提出和答复</w:t>
      </w:r>
    </w:p>
    <w:p>
      <w:pPr>
        <w:spacing w:line="48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48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480" w:lineRule="auto"/>
        <w:ind w:firstLine="480" w:firstLineChars="200"/>
        <w:rPr>
          <w:rFonts w:ascii="宋体" w:hAnsi="宋体" w:cs="宋体"/>
          <w:kern w:val="0"/>
          <w:sz w:val="24"/>
          <w:szCs w:val="24"/>
        </w:rPr>
      </w:pPr>
      <w:r>
        <w:rPr>
          <w:rFonts w:hint="eastAsia" w:ascii="宋体" w:hAnsi="宋体" w:cs="宋体"/>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pPr>
        <w:spacing w:line="48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36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采购人（名称或部门）：常州市天宁区青龙街道</w:t>
      </w:r>
      <w:r>
        <w:rPr>
          <w:rFonts w:hint="eastAsia" w:ascii="宋体" w:hAnsi="宋体" w:cs="宋体"/>
          <w:sz w:val="24"/>
          <w:szCs w:val="24"/>
          <w:lang w:val="en-US" w:eastAsia="zh-CN"/>
        </w:rPr>
        <w:t>办事处</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采购人地址：常州市天宁区河海东路9号</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联系电话：0519-85508920</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代理购机构：江苏畅誉项目管理有限公司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36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pStyle w:val="4"/>
        <w:keepNext w:val="0"/>
        <w:snapToGrid w:val="0"/>
        <w:ind w:left="0" w:firstLine="0"/>
        <w:rPr>
          <w:rFonts w:ascii="宋体" w:hAnsi="宋体" w:eastAsia="宋体"/>
          <w:sz w:val="36"/>
          <w:szCs w:val="36"/>
        </w:rPr>
      </w:pPr>
      <w:r>
        <w:rPr>
          <w:rFonts w:hint="eastAsia" w:ascii="黑体" w:hAnsi="黑体" w:cs="黑体"/>
          <w:b w:val="0"/>
          <w:bCs/>
          <w:sz w:val="36"/>
          <w:szCs w:val="36"/>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）响应文件中故意不按采购文件要求提供有关技术、财务状况、信誉、业绩、服务、资质及其他证明材料，或未携带上述扫描件或复印件加盖公章。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7"/>
        <w:jc w:val="both"/>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8"/>
        <w:spacing w:line="400" w:lineRule="exact"/>
        <w:ind w:right="1050" w:rightChars="500" w:firstLine="2880" w:firstLineChars="1200"/>
        <w:jc w:val="both"/>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lang w:eastAsia="zh-CN"/>
        </w:rPr>
        <w:t>常州市天宁区青龙街道办事处</w:t>
      </w:r>
      <w:r>
        <w:rPr>
          <w:rFonts w:hint="eastAsia" w:ascii="宋体" w:hAnsi="宋体"/>
          <w:sz w:val="24"/>
          <w:szCs w:val="24"/>
        </w:rPr>
        <w:t xml:space="preserve"> 、江苏畅誉项目管理有限公司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29"/>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3"/>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3"/>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3"/>
        <w:spacing w:line="360" w:lineRule="auto"/>
        <w:ind w:firstLine="480" w:firstLineChars="200"/>
        <w:rPr>
          <w:rFonts w:hAnsi="宋体"/>
          <w:sz w:val="24"/>
          <w:szCs w:val="24"/>
        </w:rPr>
      </w:pPr>
      <w:r>
        <w:rPr>
          <w:rFonts w:hint="eastAsia" w:hAnsi="宋体"/>
          <w:sz w:val="24"/>
          <w:szCs w:val="24"/>
        </w:rPr>
        <w:t>4、我们愿按《中华人民共和国</w:t>
      </w:r>
      <w:r>
        <w:rPr>
          <w:rFonts w:hint="eastAsia" w:hAnsi="宋体"/>
          <w:sz w:val="24"/>
          <w:szCs w:val="24"/>
          <w:lang w:val="en-US" w:eastAsia="zh-CN"/>
        </w:rPr>
        <w:t>民法典</w:t>
      </w:r>
      <w:r>
        <w:rPr>
          <w:rFonts w:hint="eastAsia" w:hAnsi="宋体"/>
          <w:sz w:val="24"/>
          <w:szCs w:val="24"/>
        </w:rPr>
        <w:t>》履行自己的全部责任。</w:t>
      </w:r>
    </w:p>
    <w:p>
      <w:pPr>
        <w:pStyle w:val="13"/>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3"/>
        <w:spacing w:line="360" w:lineRule="auto"/>
        <w:ind w:firstLine="480" w:firstLineChars="200"/>
        <w:rPr>
          <w:rFonts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18"/>
        <w:adjustRightInd w:val="0"/>
        <w:snapToGrid w:val="0"/>
        <w:spacing w:line="360" w:lineRule="auto"/>
        <w:ind w:firstLine="480" w:firstLineChars="200"/>
        <w:textAlignment w:val="baseline"/>
        <w:rPr>
          <w:rFonts w:asciiTheme="minorEastAsia" w:hAnsiTheme="minorEastAsia" w:eastAsiaTheme="minorEastAsia" w:cstheme="minorEastAsia"/>
        </w:rPr>
      </w:pPr>
      <w:r>
        <w:rPr>
          <w:rFonts w:hint="eastAsia" w:hAnsi="宋体"/>
          <w:szCs w:val="24"/>
        </w:rPr>
        <w:t>7、</w:t>
      </w:r>
      <w:r>
        <w:rPr>
          <w:rFonts w:hint="eastAsia" w:asciiTheme="minorEastAsia" w:hAnsiTheme="minorEastAsia" w:eastAsiaTheme="minorEastAsia" w:cstheme="minorEastAsia"/>
        </w:rPr>
        <w:t>我单位承诺本次“</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号</w:t>
      </w:r>
      <w:r>
        <w:rPr>
          <w:rFonts w:asciiTheme="minorEastAsia" w:hAnsiTheme="minorEastAsia" w:eastAsiaTheme="minorEastAsia" w:cstheme="minorEastAsia"/>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(项目名称），施工期限为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天；质保</w:t>
      </w:r>
      <w:r>
        <w:rPr>
          <w:rFonts w:hint="eastAsia" w:asciiTheme="minorEastAsia" w:hAnsiTheme="minorEastAsia" w:eastAsiaTheme="minorEastAsia" w:cstheme="minorEastAsia"/>
          <w:u w:val="single"/>
        </w:rPr>
        <w:t xml:space="preserve">       年</w:t>
      </w:r>
      <w:r>
        <w:rPr>
          <w:rFonts w:hint="eastAsia" w:asciiTheme="minorEastAsia" w:hAnsiTheme="minorEastAsia" w:eastAsiaTheme="minorEastAsia" w:cstheme="minorEastAsia"/>
        </w:rPr>
        <w:t xml:space="preserve">。 </w:t>
      </w:r>
    </w:p>
    <w:p>
      <w:pPr>
        <w:spacing w:line="360" w:lineRule="auto"/>
        <w:ind w:firstLine="480" w:firstLineChars="200"/>
        <w:rPr>
          <w:rFonts w:ascii="宋体" w:hAnsi="宋体"/>
          <w:sz w:val="24"/>
          <w:szCs w:val="24"/>
        </w:rPr>
      </w:pPr>
      <w:r>
        <w:rPr>
          <w:rFonts w:hint="eastAsia" w:ascii="宋体" w:hAnsi="宋体"/>
          <w:sz w:val="24"/>
          <w:szCs w:val="24"/>
        </w:rPr>
        <w:t>8、与本投标有关的正式通讯地址为：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10"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10"/>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5"/>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11" w:name="_Toc288738394"/>
      <w:bookmarkStart w:id="112" w:name="_Toc288738836"/>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b/>
          <w:bCs/>
          <w:sz w:val="24"/>
        </w:rPr>
      </w:pPr>
      <w:r>
        <w:rPr>
          <w:rFonts w:hint="eastAsia" w:ascii="宋体" w:hAnsi="宋体"/>
          <w:b/>
          <w:bCs/>
          <w:sz w:val="24"/>
        </w:rPr>
        <w:t>（彩色扫描件）粘贴处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5"/>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8"/>
        <w:ind w:firstLine="480"/>
        <w:rPr>
          <w:szCs w:val="24"/>
        </w:rPr>
      </w:pPr>
    </w:p>
    <w:p>
      <w:pPr>
        <w:pStyle w:val="8"/>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8"/>
        <w:spacing w:line="460" w:lineRule="exact"/>
        <w:ind w:firstLine="480"/>
        <w:rPr>
          <w:color w:val="auto"/>
          <w:szCs w:val="24"/>
        </w:rPr>
      </w:pPr>
      <w:r>
        <w:rPr>
          <w:rFonts w:hint="eastAsia"/>
          <w:color w:val="auto"/>
          <w:szCs w:val="24"/>
        </w:rPr>
        <w:t>主要设备有：</w:t>
      </w:r>
      <w:r>
        <w:rPr>
          <w:color w:val="auto"/>
          <w:szCs w:val="24"/>
        </w:rPr>
        <w:t xml:space="preserve"> </w:t>
      </w:r>
      <w:r>
        <w:rPr>
          <w:rFonts w:hint="eastAsia"/>
          <w:color w:val="auto"/>
          <w:szCs w:val="24"/>
        </w:rPr>
        <w:t xml:space="preserve">           </w:t>
      </w:r>
    </w:p>
    <w:p>
      <w:pPr>
        <w:pStyle w:val="8"/>
        <w:spacing w:line="460" w:lineRule="exact"/>
        <w:ind w:firstLine="480"/>
        <w:rPr>
          <w:color w:val="auto"/>
          <w:szCs w:val="24"/>
        </w:rPr>
      </w:pPr>
      <w:r>
        <w:rPr>
          <w:rFonts w:hint="eastAsia"/>
          <w:color w:val="auto"/>
          <w:szCs w:val="24"/>
        </w:rPr>
        <w:t>主要专业技术能力有：</w:t>
      </w:r>
      <w:r>
        <w:rPr>
          <w:color w:val="auto"/>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5"/>
        <w:snapToGrid w:val="0"/>
        <w:spacing w:line="360" w:lineRule="auto"/>
        <w:rPr>
          <w:rFonts w:ascii="宋体" w:hAnsi="宋体" w:eastAsia="宋体"/>
          <w:b/>
          <w:sz w:val="24"/>
          <w:szCs w:val="24"/>
        </w:rPr>
      </w:pPr>
    </w:p>
    <w:p>
      <w:pPr>
        <w:pStyle w:val="5"/>
        <w:snapToGrid w:val="0"/>
        <w:spacing w:line="360" w:lineRule="auto"/>
        <w:rPr>
          <w:rFonts w:ascii="宋体" w:hAnsi="宋体" w:eastAsia="宋体"/>
          <w:b/>
          <w:sz w:val="24"/>
          <w:szCs w:val="24"/>
        </w:rPr>
      </w:pPr>
    </w:p>
    <w:p>
      <w:pPr>
        <w:pStyle w:val="25"/>
        <w:ind w:firstLine="480"/>
      </w:pPr>
    </w:p>
    <w:p>
      <w:pPr>
        <w:pStyle w:val="8"/>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11"/>
      <w:bookmarkEnd w:id="112"/>
    </w:p>
    <w:p>
      <w:pPr>
        <w:spacing w:line="360" w:lineRule="auto"/>
        <w:jc w:val="center"/>
        <w:rPr>
          <w:rFonts w:ascii="宋体" w:hAnsi="宋体"/>
          <w:b/>
          <w:bCs/>
          <w:sz w:val="36"/>
          <w:szCs w:val="36"/>
        </w:rPr>
      </w:pPr>
      <w:r>
        <w:rPr>
          <w:rFonts w:hint="eastAsia" w:ascii="宋体" w:hAnsi="宋体"/>
          <w:b/>
          <w:bCs/>
          <w:sz w:val="36"/>
          <w:szCs w:val="36"/>
        </w:rPr>
        <w:t>开标一览表</w:t>
      </w:r>
    </w:p>
    <w:tbl>
      <w:tblPr>
        <w:tblStyle w:val="20"/>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价格</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 w:val="24"/>
                <w:szCs w:val="24"/>
              </w:rPr>
            </w:pPr>
            <w:r>
              <w:rPr>
                <w:rFonts w:hint="eastAsia" w:ascii="宋体" w:hAnsi="宋体" w:cs="宋体"/>
                <w:bCs/>
                <w:sz w:val="20"/>
                <w:szCs w:val="20"/>
              </w:rPr>
              <w:t>投标价格高于该招标控制价的作为无效投标处理；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footerReference r:id="rId10" w:type="first"/>
          <w:footerReference r:id="rId9" w:type="default"/>
          <w:pgSz w:w="11906" w:h="16838"/>
          <w:pgMar w:top="1440" w:right="1418" w:bottom="1440" w:left="1559" w:header="851" w:footer="992" w:gutter="0"/>
          <w:pgNumType w:start="1"/>
          <w:cols w:space="720" w:num="1"/>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spacing w:line="360" w:lineRule="auto"/>
        <w:jc w:val="left"/>
        <w:rPr>
          <w:rFonts w:ascii="宋体" w:hAnsi="宋体"/>
          <w:b/>
          <w:sz w:val="24"/>
          <w:szCs w:val="24"/>
        </w:rPr>
      </w:pPr>
      <w:bookmarkStart w:id="113" w:name="_Toc288738838"/>
      <w:bookmarkStart w:id="114" w:name="_Toc288738396"/>
      <w:r>
        <w:rPr>
          <w:rFonts w:hint="eastAsia" w:ascii="宋体" w:hAnsi="宋体"/>
          <w:b/>
          <w:sz w:val="24"/>
          <w:szCs w:val="24"/>
        </w:rPr>
        <w:t>附件六：</w:t>
      </w:r>
    </w:p>
    <w:p>
      <w:pPr>
        <w:pStyle w:val="2"/>
        <w:rPr>
          <w:rFonts w:ascii="宋体" w:hAnsi="宋体"/>
          <w:b/>
          <w:sz w:val="24"/>
          <w:szCs w:val="24"/>
        </w:rPr>
      </w:pPr>
    </w:p>
    <w:p>
      <w:pPr>
        <w:pStyle w:val="5"/>
        <w:snapToGrid w:val="0"/>
        <w:spacing w:before="156" w:beforeLines="50" w:line="360" w:lineRule="auto"/>
        <w:jc w:val="center"/>
        <w:rPr>
          <w:rFonts w:ascii="宋体" w:hAnsi="宋体"/>
          <w:b/>
          <w:bCs/>
          <w:sz w:val="36"/>
          <w:szCs w:val="24"/>
        </w:rPr>
      </w:pPr>
      <w:r>
        <w:rPr>
          <w:rFonts w:hint="eastAsia" w:ascii="宋体" w:hAnsi="宋体"/>
          <w:b/>
          <w:bCs/>
          <w:sz w:val="36"/>
          <w:szCs w:val="24"/>
        </w:rPr>
        <w:t>分项报价表</w:t>
      </w:r>
    </w:p>
    <w:p>
      <w:pPr>
        <w:pStyle w:val="2"/>
        <w:rPr>
          <w:rFonts w:ascii="宋体" w:hAnsi="宋体"/>
          <w:b/>
          <w:sz w:val="24"/>
          <w:szCs w:val="24"/>
        </w:rPr>
      </w:pPr>
    </w:p>
    <w:p>
      <w:pPr>
        <w:pStyle w:val="2"/>
        <w:rPr>
          <w:rFonts w:ascii="宋体" w:hAnsi="宋体"/>
          <w:b/>
          <w:sz w:val="24"/>
          <w:szCs w:val="24"/>
        </w:rPr>
      </w:pPr>
    </w:p>
    <w:p>
      <w:pPr>
        <w:snapToGrid w:val="0"/>
        <w:spacing w:before="156" w:beforeLines="50" w:line="360" w:lineRule="auto"/>
        <w:rPr>
          <w:rFonts w:ascii="宋体" w:hAnsi="宋体" w:cs="宋体"/>
          <w:szCs w:val="21"/>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20"/>
        <w:tblW w:w="7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序号</w:t>
            </w:r>
          </w:p>
        </w:tc>
        <w:tc>
          <w:tcPr>
            <w:tcW w:w="1146"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项目名称</w:t>
            </w:r>
          </w:p>
        </w:tc>
        <w:tc>
          <w:tcPr>
            <w:tcW w:w="751"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 w:val="24"/>
                <w:szCs w:val="24"/>
              </w:rPr>
            </w:pPr>
          </w:p>
        </w:tc>
        <w:tc>
          <w:tcPr>
            <w:tcW w:w="1146" w:type="dxa"/>
            <w:vMerge w:val="continue"/>
            <w:vAlign w:val="center"/>
          </w:tcPr>
          <w:p>
            <w:pPr>
              <w:widowControl/>
              <w:snapToGrid w:val="0"/>
              <w:spacing w:line="360" w:lineRule="auto"/>
              <w:jc w:val="center"/>
              <w:rPr>
                <w:rFonts w:ascii="宋体" w:hAnsi="宋体" w:cs="Arial"/>
                <w:kern w:val="0"/>
                <w:sz w:val="24"/>
                <w:szCs w:val="24"/>
              </w:rPr>
            </w:pPr>
          </w:p>
        </w:tc>
        <w:tc>
          <w:tcPr>
            <w:tcW w:w="751" w:type="dxa"/>
            <w:vMerge w:val="continue"/>
            <w:vAlign w:val="center"/>
          </w:tcPr>
          <w:p>
            <w:pPr>
              <w:widowControl/>
              <w:snapToGrid w:val="0"/>
              <w:spacing w:line="360" w:lineRule="auto"/>
              <w:jc w:val="center"/>
              <w:rPr>
                <w:rFonts w:ascii="宋体" w:hAnsi="宋体" w:cs="Arial"/>
                <w:kern w:val="0"/>
                <w:sz w:val="24"/>
                <w:szCs w:val="24"/>
              </w:rPr>
            </w:pPr>
          </w:p>
        </w:tc>
        <w:tc>
          <w:tcPr>
            <w:tcW w:w="1192" w:type="dxa"/>
            <w:vMerge w:val="continue"/>
            <w:vAlign w:val="center"/>
          </w:tcPr>
          <w:p>
            <w:pPr>
              <w:widowControl/>
              <w:snapToGrid w:val="0"/>
              <w:spacing w:line="360" w:lineRule="auto"/>
              <w:jc w:val="center"/>
              <w:rPr>
                <w:rFonts w:ascii="宋体" w:hAnsi="宋体" w:cs="Arial"/>
                <w:kern w:val="0"/>
                <w:sz w:val="24"/>
                <w:szCs w:val="24"/>
              </w:rPr>
            </w:pPr>
          </w:p>
        </w:tc>
        <w:tc>
          <w:tcPr>
            <w:tcW w:w="1225" w:type="dxa"/>
            <w:tcBorders>
              <w:top w:val="single" w:color="auto" w:sz="4" w:space="0"/>
            </w:tcBorders>
            <w:vAlign w:val="center"/>
          </w:tcPr>
          <w:p>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8"/>
        <w:spacing w:before="156" w:beforeLines="5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法定代表人或代理人（签字或盖章）：</w:t>
      </w: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r>
        <w:rPr>
          <w:rFonts w:hint="eastAsia"/>
          <w:b/>
          <w:bCs/>
        </w:rPr>
        <w:t>附件七：</w:t>
      </w:r>
    </w:p>
    <w:p>
      <w:pPr>
        <w:pStyle w:val="8"/>
        <w:ind w:firstLine="480"/>
      </w:pPr>
    </w:p>
    <w:p>
      <w:pPr>
        <w:pStyle w:val="13"/>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2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86"/>
        <w:gridCol w:w="350"/>
        <w:gridCol w:w="516"/>
        <w:gridCol w:w="528"/>
        <w:gridCol w:w="784"/>
        <w:gridCol w:w="50"/>
        <w:gridCol w:w="1217"/>
        <w:gridCol w:w="560"/>
        <w:gridCol w:w="915"/>
        <w:gridCol w:w="26"/>
        <w:gridCol w:w="101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3"/>
              <w:adjustRightInd w:val="0"/>
              <w:snapToGrid w:val="0"/>
              <w:spacing w:line="300" w:lineRule="auto"/>
              <w:jc w:val="center"/>
              <w:rPr>
                <w:rFonts w:hAnsi="宋体"/>
                <w:sz w:val="24"/>
                <w:szCs w:val="24"/>
              </w:rPr>
            </w:pPr>
            <w:r>
              <w:rPr>
                <w:rFonts w:hint="eastAsia" w:hAnsi="宋体"/>
                <w:sz w:val="24"/>
                <w:szCs w:val="24"/>
              </w:rPr>
              <w:t>姓名</w:t>
            </w:r>
          </w:p>
        </w:tc>
        <w:tc>
          <w:tcPr>
            <w:tcW w:w="1452" w:type="dxa"/>
            <w:gridSpan w:val="3"/>
            <w:vAlign w:val="center"/>
          </w:tcPr>
          <w:p>
            <w:pPr>
              <w:pStyle w:val="13"/>
              <w:adjustRightInd w:val="0"/>
              <w:snapToGrid w:val="0"/>
              <w:spacing w:line="300" w:lineRule="auto"/>
              <w:jc w:val="center"/>
              <w:rPr>
                <w:rFonts w:hAnsi="宋体"/>
                <w:sz w:val="24"/>
                <w:szCs w:val="24"/>
              </w:rPr>
            </w:pPr>
          </w:p>
        </w:tc>
        <w:tc>
          <w:tcPr>
            <w:tcW w:w="1362"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性别</w:t>
            </w:r>
          </w:p>
        </w:tc>
        <w:tc>
          <w:tcPr>
            <w:tcW w:w="1217" w:type="dxa"/>
            <w:vAlign w:val="center"/>
          </w:tcPr>
          <w:p>
            <w:pPr>
              <w:pStyle w:val="13"/>
              <w:adjustRightInd w:val="0"/>
              <w:snapToGrid w:val="0"/>
              <w:spacing w:line="300" w:lineRule="auto"/>
              <w:jc w:val="center"/>
              <w:rPr>
                <w:rFonts w:hAnsi="宋体"/>
                <w:sz w:val="24"/>
                <w:szCs w:val="24"/>
              </w:rPr>
            </w:pPr>
          </w:p>
        </w:tc>
        <w:tc>
          <w:tcPr>
            <w:tcW w:w="1501"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年龄</w:t>
            </w:r>
          </w:p>
        </w:tc>
        <w:tc>
          <w:tcPr>
            <w:tcW w:w="2063" w:type="dxa"/>
            <w:gridSpan w:val="2"/>
            <w:vAlign w:val="center"/>
          </w:tcPr>
          <w:p>
            <w:pPr>
              <w:pStyle w:val="13"/>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3"/>
              <w:adjustRightInd w:val="0"/>
              <w:snapToGrid w:val="0"/>
              <w:spacing w:line="300" w:lineRule="auto"/>
              <w:jc w:val="center"/>
              <w:rPr>
                <w:rFonts w:hAnsi="宋体"/>
                <w:sz w:val="24"/>
                <w:szCs w:val="24"/>
              </w:rPr>
            </w:pPr>
            <w:r>
              <w:rPr>
                <w:rFonts w:hint="eastAsia" w:hAnsi="宋体"/>
                <w:sz w:val="24"/>
                <w:szCs w:val="24"/>
              </w:rPr>
              <w:t>职务</w:t>
            </w:r>
          </w:p>
        </w:tc>
        <w:tc>
          <w:tcPr>
            <w:tcW w:w="2764" w:type="dxa"/>
            <w:gridSpan w:val="5"/>
            <w:vAlign w:val="center"/>
          </w:tcPr>
          <w:p>
            <w:pPr>
              <w:pStyle w:val="13"/>
              <w:adjustRightInd w:val="0"/>
              <w:snapToGrid w:val="0"/>
              <w:spacing w:line="300" w:lineRule="auto"/>
              <w:jc w:val="center"/>
              <w:rPr>
                <w:rFonts w:hAnsi="宋体"/>
                <w:sz w:val="24"/>
                <w:szCs w:val="24"/>
              </w:rPr>
            </w:pPr>
          </w:p>
        </w:tc>
        <w:tc>
          <w:tcPr>
            <w:tcW w:w="1267"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学历</w:t>
            </w:r>
          </w:p>
        </w:tc>
        <w:tc>
          <w:tcPr>
            <w:tcW w:w="3564" w:type="dxa"/>
            <w:gridSpan w:val="5"/>
            <w:vAlign w:val="center"/>
          </w:tcPr>
          <w:p>
            <w:pPr>
              <w:pStyle w:val="13"/>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607"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参加工作时间</w:t>
            </w:r>
          </w:p>
        </w:tc>
        <w:tc>
          <w:tcPr>
            <w:tcW w:w="2178"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 xml:space="preserve">             </w:t>
            </w:r>
          </w:p>
        </w:tc>
        <w:tc>
          <w:tcPr>
            <w:tcW w:w="2742"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089" w:type="dxa"/>
            <w:gridSpan w:val="3"/>
            <w:vAlign w:val="center"/>
          </w:tcPr>
          <w:p>
            <w:pPr>
              <w:pStyle w:val="13"/>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616" w:type="dxa"/>
            <w:gridSpan w:val="13"/>
            <w:vAlign w:val="center"/>
          </w:tcPr>
          <w:p>
            <w:pPr>
              <w:pStyle w:val="13"/>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957"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项目名称</w:t>
            </w:r>
          </w:p>
        </w:tc>
        <w:tc>
          <w:tcPr>
            <w:tcW w:w="1044"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建设规模</w:t>
            </w:r>
          </w:p>
        </w:tc>
        <w:tc>
          <w:tcPr>
            <w:tcW w:w="2611"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开、竣工程日期</w:t>
            </w:r>
          </w:p>
        </w:tc>
        <w:tc>
          <w:tcPr>
            <w:tcW w:w="1958"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中标价</w:t>
            </w:r>
          </w:p>
        </w:tc>
        <w:tc>
          <w:tcPr>
            <w:tcW w:w="1046" w:type="dxa"/>
            <w:vAlign w:val="center"/>
          </w:tcPr>
          <w:p>
            <w:pPr>
              <w:pStyle w:val="13"/>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13"/>
      <w:bookmarkEnd w:id="114"/>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219710</wp:posOffset>
                </wp:positionV>
                <wp:extent cx="1317625" cy="0"/>
                <wp:effectExtent l="0" t="0" r="34925" b="1905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8.75pt;margin-top:17.3pt;height:0pt;width:103.75pt;z-index:251662336;mso-width-relative:page;mso-height-relative:page;" filled="f" stroked="t" coordsize="21600,21600" o:gfxdata="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G6u1wAAAAkBAAAPAAAAAAAAAAEAIAAAACIAAABkcnMvZG93&#10;bnJldi54bWxQSwECFAAUAAAACACHTuJAAE/yrgECAAD6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sz w:val="24"/>
        </w:rPr>
        <w:t>招标编号：</w:t>
      </w:r>
      <w:r>
        <w:rPr>
          <w:rFonts w:ascii="宋体" w:hAnsi="宋体" w:cs="宋体"/>
          <w:sz w:val="24"/>
        </w:rPr>
        <w:t xml:space="preserve"> </w:t>
      </w:r>
    </w:p>
    <w:tbl>
      <w:tblPr>
        <w:tblStyle w:val="20"/>
        <w:tblW w:w="88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882"/>
        <w:gridCol w:w="882"/>
        <w:gridCol w:w="882"/>
        <w:gridCol w:w="882"/>
        <w:gridCol w:w="882"/>
        <w:gridCol w:w="882"/>
        <w:gridCol w:w="882"/>
        <w:gridCol w:w="882"/>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rPr>
        <w:t>格式自拟</w:t>
      </w: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w:t>
      </w:r>
      <w:r>
        <w:rPr>
          <w:rFonts w:hint="eastAsia" w:ascii="宋体" w:hAnsi="宋体" w:cs="宋体"/>
          <w:b/>
          <w:sz w:val="24"/>
        </w:rPr>
        <w:t>单位</w:t>
      </w:r>
      <w:r>
        <w:rPr>
          <w:rFonts w:hint="eastAsia" w:ascii="宋体" w:hAnsi="宋体" w:cs="宋体"/>
          <w:b/>
          <w:sz w:val="24"/>
          <w:lang w:val="zh-CN"/>
        </w:rPr>
        <w:t>正式职工，</w:t>
      </w:r>
      <w:r>
        <w:rPr>
          <w:rFonts w:hint="eastAsia" w:ascii="宋体" w:hAnsi="宋体" w:cs="宋体"/>
          <w:b/>
          <w:sz w:val="24"/>
        </w:rPr>
        <w:t>需提供社保缴纳记录</w:t>
      </w:r>
      <w:r>
        <w:rPr>
          <w:rFonts w:hint="eastAsia" w:ascii="宋体" w:hAnsi="宋体" w:cs="宋体"/>
          <w:b/>
          <w:sz w:val="24"/>
          <w:lang w:val="zh-CN"/>
        </w:rPr>
        <w:t>。</w:t>
      </w: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5"/>
        <w:snapToGrid w:val="0"/>
        <w:spacing w:line="360" w:lineRule="auto"/>
        <w:rPr>
          <w:rFonts w:ascii="宋体" w:hAnsi="宋体" w:eastAsia="宋体"/>
          <w:b/>
          <w:bCs/>
          <w:sz w:val="24"/>
        </w:rPr>
      </w:pPr>
      <w:r>
        <w:rPr>
          <w:rFonts w:ascii="宋体" w:hAnsi="宋体" w:eastAsia="宋体"/>
          <w:sz w:val="22"/>
        </w:rPr>
        <w:br w:type="page"/>
      </w:r>
      <w:bookmarkStart w:id="115" w:name="_Toc288738397"/>
      <w:bookmarkStart w:id="116" w:name="_Toc288738839"/>
      <w:r>
        <w:rPr>
          <w:rFonts w:hint="eastAsia" w:ascii="宋体" w:hAnsi="宋体" w:eastAsia="宋体"/>
          <w:b/>
          <w:sz w:val="24"/>
          <w:szCs w:val="24"/>
        </w:rPr>
        <w:t>附件八：</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15"/>
      <w:bookmarkEnd w:id="116"/>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729615</wp:posOffset>
                </wp:positionH>
                <wp:positionV relativeFrom="paragraph">
                  <wp:posOffset>245745</wp:posOffset>
                </wp:positionV>
                <wp:extent cx="1233170" cy="0"/>
                <wp:effectExtent l="0" t="0" r="24130" b="1905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7.45pt;margin-top:19.35pt;height:0pt;width:97.1pt;z-index:251663360;mso-width-relative:page;mso-height-relative:page;" filled="f" stroked="t" coordsize="21600,21600" o:gfxdata="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FWfM9YAAAAJAQAADwAAAAAAAAABACAAAAAiAAAAZHJzL2Rv&#10;d25yZXYueG1sUEsBAhQAFAAAAAgAh07iQKJ3XCUDAgAA+gMAAA4AAAAAAAAAAQAgAAAAJQEAAGRy&#10;cy9lMm9Eb2MueG1sUEsFBgAAAAAGAAYAWQEAAJoFAAAAAA==&#10;">
                <v:fill on="f" focussize="0,0"/>
                <v:stroke color="#000000" joinstyle="round"/>
                <v:imagedata o:title=""/>
                <o:lock v:ext="edit" aspectratio="f"/>
              </v:shape>
            </w:pict>
          </mc:Fallback>
        </mc:AlternateContent>
      </w:r>
      <w:r>
        <w:rPr>
          <w:rFonts w:hint="eastAsia" w:ascii="宋体" w:hAnsi="宋体" w:cs="宋体"/>
          <w:sz w:val="24"/>
          <w:szCs w:val="24"/>
        </w:rPr>
        <w:t>招标编号：</w:t>
      </w:r>
    </w:p>
    <w:tbl>
      <w:tblPr>
        <w:tblStyle w:val="20"/>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lang w:val="zh-CN"/>
        </w:rPr>
        <w:t>注：附合同复印件</w:t>
      </w:r>
      <w:r>
        <w:rPr>
          <w:rFonts w:hint="eastAsia" w:ascii="宋体" w:hAnsi="宋体" w:cs="宋体"/>
          <w:b/>
          <w:bCs/>
          <w:sz w:val="24"/>
          <w:szCs w:val="24"/>
        </w:rPr>
        <w:t>加盖公章或</w:t>
      </w:r>
      <w:r>
        <w:rPr>
          <w:rFonts w:hint="eastAsia" w:ascii="宋体" w:hAnsi="宋体" w:cs="宋体"/>
          <w:b/>
          <w:bCs/>
          <w:sz w:val="24"/>
          <w:szCs w:val="24"/>
          <w:lang w:val="zh-CN"/>
        </w:rPr>
        <w:t>验收报告或用户证明</w:t>
      </w:r>
      <w:r>
        <w:rPr>
          <w:rFonts w:hint="eastAsia" w:ascii="宋体" w:hAnsi="宋体" w:cs="宋体"/>
          <w:b/>
          <w:bCs/>
          <w:sz w:val="24"/>
          <w:szCs w:val="24"/>
        </w:rPr>
        <w:t>并加盖公章</w:t>
      </w:r>
      <w:r>
        <w:rPr>
          <w:rFonts w:hint="eastAsia" w:ascii="宋体" w:hAnsi="宋体" w:cs="宋体"/>
          <w:b/>
          <w:bCs/>
          <w:sz w:val="24"/>
          <w:szCs w:val="24"/>
          <w:lang w:val="zh-CN"/>
        </w:rPr>
        <w:t>。</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5"/>
        <w:snapToGrid w:val="0"/>
        <w:spacing w:line="360" w:lineRule="auto"/>
        <w:rPr>
          <w:rFonts w:ascii="宋体" w:hAnsi="宋体" w:eastAsia="宋体"/>
          <w:b/>
          <w:sz w:val="24"/>
          <w:szCs w:val="24"/>
        </w:rPr>
      </w:pPr>
      <w:r>
        <w:rPr>
          <w:rFonts w:hint="eastAsia" w:ascii="宋体" w:hAnsi="宋体" w:eastAsia="宋体"/>
          <w:b/>
          <w:sz w:val="24"/>
          <w:szCs w:val="24"/>
        </w:rPr>
        <w:t>附件九：</w:t>
      </w:r>
    </w:p>
    <w:p>
      <w:pPr>
        <w:spacing w:before="156" w:beforeLines="50" w:line="360" w:lineRule="auto"/>
        <w:jc w:val="center"/>
        <w:rPr>
          <w:rFonts w:ascii="宋体" w:hAnsi="宋体" w:cs="宋体"/>
          <w:b/>
          <w:sz w:val="24"/>
        </w:rPr>
      </w:pPr>
      <w:r>
        <w:rPr>
          <w:rFonts w:hint="eastAsia" w:ascii="宋体" w:hAnsi="宋体" w:cs="宋体"/>
          <w:b/>
          <w:sz w:val="24"/>
        </w:rPr>
        <w:t>技术参数（或服务要求标准）偏离表</w:t>
      </w:r>
    </w:p>
    <w:tbl>
      <w:tblPr>
        <w:tblStyle w:val="20"/>
        <w:tblW w:w="8284" w:type="dxa"/>
        <w:jc w:val="center"/>
        <w:tblLayout w:type="fixed"/>
        <w:tblCellMar>
          <w:top w:w="0" w:type="dxa"/>
          <w:left w:w="108" w:type="dxa"/>
          <w:bottom w:w="0" w:type="dxa"/>
          <w:right w:w="108" w:type="dxa"/>
        </w:tblCellMar>
      </w:tblPr>
      <w:tblGrid>
        <w:gridCol w:w="2482"/>
        <w:gridCol w:w="2158"/>
        <w:gridCol w:w="2100"/>
        <w:gridCol w:w="1544"/>
      </w:tblGrid>
      <w:tr>
        <w:tblPrEx>
          <w:tblCellMar>
            <w:top w:w="0" w:type="dxa"/>
            <w:left w:w="108" w:type="dxa"/>
            <w:bottom w:w="0" w:type="dxa"/>
            <w:right w:w="108" w:type="dxa"/>
          </w:tblCellMar>
        </w:tblPrEx>
        <w:trPr>
          <w:trHeight w:val="547" w:hRule="atLeast"/>
          <w:jc w:val="center"/>
        </w:trPr>
        <w:tc>
          <w:tcPr>
            <w:tcW w:w="2482"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工程要求</w:t>
            </w:r>
          </w:p>
        </w:tc>
        <w:tc>
          <w:tcPr>
            <w:tcW w:w="2158"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标书要求参数</w:t>
            </w:r>
          </w:p>
        </w:tc>
        <w:tc>
          <w:tcPr>
            <w:tcW w:w="2100"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投标参数</w:t>
            </w:r>
          </w:p>
        </w:tc>
        <w:tc>
          <w:tcPr>
            <w:tcW w:w="1544"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偏离值</w:t>
            </w:r>
          </w:p>
        </w:tc>
      </w:tr>
      <w:tr>
        <w:tblPrEx>
          <w:tblCellMar>
            <w:top w:w="0" w:type="dxa"/>
            <w:left w:w="108" w:type="dxa"/>
            <w:bottom w:w="0" w:type="dxa"/>
            <w:right w:w="108" w:type="dxa"/>
          </w:tblCellMar>
        </w:tblPrEx>
        <w:trPr>
          <w:trHeight w:val="511"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35"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7"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49"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6"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29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bl>
    <w:p>
      <w:pPr>
        <w:widowControl/>
        <w:snapToGrid w:val="0"/>
        <w:spacing w:before="156" w:beforeLines="50" w:line="360" w:lineRule="auto"/>
        <w:rPr>
          <w:rFonts w:ascii="宋体" w:hAnsi="宋体" w:cs="宋体"/>
          <w:kern w:val="0"/>
          <w:sz w:val="24"/>
        </w:rPr>
      </w:pPr>
    </w:p>
    <w:p>
      <w:pPr>
        <w:widowControl/>
        <w:snapToGrid w:val="0"/>
        <w:spacing w:before="156" w:beforeLines="50" w:line="360" w:lineRule="auto"/>
        <w:rPr>
          <w:rFonts w:ascii="宋体" w:hAnsi="宋体" w:cs="宋体"/>
          <w:kern w:val="0"/>
          <w:sz w:val="24"/>
        </w:rPr>
      </w:pPr>
      <w:r>
        <w:rPr>
          <w:rFonts w:hint="eastAsia" w:ascii="宋体" w:hAnsi="宋体" w:cs="宋体"/>
          <w:kern w:val="0"/>
          <w:sz w:val="24"/>
        </w:rPr>
        <w:t>供应商名称（公章）：</w:t>
      </w:r>
    </w:p>
    <w:p>
      <w:pPr>
        <w:snapToGrid w:val="0"/>
        <w:spacing w:before="156" w:beforeLines="50" w:line="360" w:lineRule="auto"/>
        <w:rPr>
          <w:rFonts w:ascii="宋体" w:hAnsi="宋体" w:cs="宋体"/>
          <w:sz w:val="24"/>
        </w:rPr>
      </w:pPr>
      <w:r>
        <w:rPr>
          <w:rFonts w:hint="eastAsia" w:ascii="宋体" w:hAnsi="宋体" w:cs="宋体"/>
          <w:sz w:val="24"/>
        </w:rPr>
        <w:t>法定代表人或代理人（签字或盖章）：</w:t>
      </w:r>
    </w:p>
    <w:p>
      <w:pPr>
        <w:snapToGrid w:val="0"/>
        <w:spacing w:before="156" w:beforeLines="50" w:line="360" w:lineRule="auto"/>
        <w:rPr>
          <w:rFonts w:ascii="宋体" w:hAnsi="宋体" w:cs="宋体"/>
          <w:sz w:val="24"/>
        </w:rPr>
      </w:pP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注：*1、</w:t>
      </w:r>
      <w:r>
        <w:rPr>
          <w:rFonts w:hint="eastAsia" w:ascii="宋体" w:hAnsi="宋体" w:cs="宋体"/>
          <w:sz w:val="24"/>
          <w:lang w:val="zh-CN"/>
        </w:rPr>
        <w:t>请各供应商按照以上表格形式逐项应答配置要求内容，在</w:t>
      </w:r>
      <w:r>
        <w:rPr>
          <w:rFonts w:hint="eastAsia" w:ascii="宋体" w:hAnsi="宋体" w:cs="宋体"/>
          <w:sz w:val="24"/>
        </w:rPr>
        <w:t>偏离值一栏内如实填写“无偏离、正偏离或负偏离”，货物类项目提供投标产品的彩页/样本/技术资料等。</w:t>
      </w: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*2、各供应商不得复制粘贴招标文件所列技术参数，必须如实填写产品品牌，提供所供产品的技术参数。如复制粘贴，或提供虚假技术参数，将作无实质性响应处理。</w:t>
      </w:r>
    </w:p>
    <w:p>
      <w:pPr>
        <w:spacing w:line="560" w:lineRule="exact"/>
        <w:ind w:firstLine="281" w:firstLineChars="100"/>
        <w:jc w:val="left"/>
        <w:rPr>
          <w:rFonts w:ascii="黑体" w:hAnsi="黑体" w:eastAsia="黑体"/>
          <w:b/>
          <w:sz w:val="28"/>
          <w:szCs w:val="28"/>
        </w:rPr>
      </w:pPr>
    </w:p>
    <w:p>
      <w:pPr>
        <w:spacing w:line="560" w:lineRule="exact"/>
        <w:ind w:firstLine="241" w:firstLineChars="100"/>
        <w:jc w:val="left"/>
        <w:rPr>
          <w:rFonts w:ascii="宋体" w:hAnsi="宋体"/>
          <w:b/>
          <w:kern w:val="0"/>
          <w:sz w:val="24"/>
          <w:szCs w:val="24"/>
        </w:rPr>
      </w:pPr>
      <w:r>
        <w:rPr>
          <w:rFonts w:hint="eastAsia" w:ascii="宋体" w:hAnsi="宋体"/>
          <w:b/>
          <w:kern w:val="0"/>
          <w:sz w:val="24"/>
          <w:szCs w:val="24"/>
        </w:rPr>
        <w:t>附件十：</w:t>
      </w:r>
    </w:p>
    <w:p>
      <w:pPr>
        <w:spacing w:line="360" w:lineRule="auto"/>
        <w:jc w:val="center"/>
        <w:rPr>
          <w:rFonts w:ascii="宋体" w:hAnsi="宋体" w:cs="宋体"/>
          <w:b/>
          <w:bCs/>
          <w:sz w:val="32"/>
          <w:szCs w:val="32"/>
        </w:rPr>
      </w:pPr>
      <w:r>
        <w:rPr>
          <w:rFonts w:hint="eastAsia" w:ascii="宋体" w:hAnsi="宋体" w:cs="宋体"/>
          <w:b/>
          <w:bCs/>
          <w:sz w:val="32"/>
          <w:szCs w:val="32"/>
        </w:rPr>
        <w:t>承诺函</w:t>
      </w:r>
    </w:p>
    <w:p>
      <w:pPr>
        <w:spacing w:line="360" w:lineRule="auto"/>
        <w:rPr>
          <w:rFonts w:ascii="宋体" w:hAnsi="宋体" w:cs="宋体"/>
          <w:sz w:val="24"/>
          <w:u w:val="single"/>
        </w:rPr>
      </w:pPr>
      <w:r>
        <w:rPr>
          <w:rFonts w:hint="eastAsia" w:ascii="宋体" w:hAnsi="宋体" w:cs="宋体"/>
          <w:sz w:val="24"/>
          <w:u w:val="single"/>
        </w:rPr>
        <w:t>江苏畅誉项目管理有限公司</w:t>
      </w:r>
    </w:p>
    <w:p>
      <w:pPr>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eastAsia="zh-CN"/>
        </w:rPr>
        <w:t>常州市天宁区青龙街道办事处</w:t>
      </w:r>
      <w:r>
        <w:rPr>
          <w:rFonts w:hint="eastAsia" w:ascii="宋体" w:hAnsi="宋体" w:cs="宋体"/>
          <w:sz w:val="24"/>
          <w:u w:val="single"/>
        </w:rPr>
        <w:t xml:space="preserve">  ：</w:t>
      </w:r>
    </w:p>
    <w:p>
      <w:pPr>
        <w:spacing w:line="360" w:lineRule="auto"/>
        <w:ind w:firstLine="480"/>
        <w:rPr>
          <w:rFonts w:ascii="宋体" w:hAnsi="宋体" w:cs="宋体"/>
          <w:sz w:val="24"/>
        </w:rPr>
      </w:pPr>
      <w:r>
        <w:rPr>
          <w:rFonts w:hint="eastAsia" w:ascii="宋体" w:hAnsi="宋体" w:cs="宋体"/>
          <w:sz w:val="24"/>
        </w:rPr>
        <w:t>本公司愿意参加贵公司组织实施的编号</w:t>
      </w:r>
      <w:r>
        <w:rPr>
          <w:rFonts w:hint="eastAsia" w:ascii="宋体" w:hAnsi="宋体" w:cs="宋体"/>
          <w:sz w:val="24"/>
          <w:u w:val="single"/>
        </w:rPr>
        <w:t xml:space="preserve">                 </w:t>
      </w:r>
      <w:r>
        <w:rPr>
          <w:rFonts w:hint="eastAsia" w:ascii="宋体" w:hAnsi="宋体" w:cs="宋体"/>
          <w:sz w:val="24"/>
        </w:rPr>
        <w:t>的招投标采购活动。本公司承诺：</w:t>
      </w:r>
    </w:p>
    <w:p>
      <w:pPr>
        <w:spacing w:line="360" w:lineRule="auto"/>
        <w:ind w:firstLine="470" w:firstLineChars="196"/>
        <w:rPr>
          <w:rFonts w:ascii="宋体" w:hAnsi="宋体" w:cs="宋体"/>
          <w:sz w:val="24"/>
        </w:rPr>
      </w:pPr>
      <w:r>
        <w:rPr>
          <w:rFonts w:hint="eastAsia" w:ascii="宋体" w:hAnsi="宋体" w:cs="宋体"/>
          <w:sz w:val="24"/>
        </w:rPr>
        <w:t>1、本公司此次响应文件及附件材料的全部数据、内容均是真实有效的，此次响应文件提供的资料如有虚假，本公司愿接受建设行政主管部门及其他有关部门依法给予的处罚。</w:t>
      </w:r>
    </w:p>
    <w:p>
      <w:pPr>
        <w:spacing w:line="360" w:lineRule="auto"/>
        <w:ind w:firstLine="480" w:firstLineChars="200"/>
        <w:rPr>
          <w:rFonts w:ascii="宋体" w:hAnsi="宋体" w:cs="宋体"/>
          <w:sz w:val="24"/>
        </w:rPr>
      </w:pPr>
      <w:r>
        <w:rPr>
          <w:rFonts w:hint="eastAsia" w:ascii="宋体" w:hAnsi="宋体" w:cs="宋体"/>
          <w:sz w:val="24"/>
        </w:rPr>
        <w:t>2、本公司具有独立订立合同的能力；未处于被责令停业，投标资格被取消的状态；企业没有因骗取中标或者严重违约以及发生重大工程质量、安全事故等暂停投标资格并处在暂停期内。</w:t>
      </w:r>
    </w:p>
    <w:p>
      <w:pPr>
        <w:spacing w:line="360" w:lineRule="auto"/>
        <w:ind w:firstLine="480"/>
        <w:rPr>
          <w:rFonts w:ascii="宋体" w:hAnsi="宋体" w:cs="宋体"/>
          <w:sz w:val="24"/>
        </w:rPr>
      </w:pPr>
      <w:r>
        <w:rPr>
          <w:rFonts w:hint="eastAsia" w:ascii="宋体" w:hAnsi="宋体" w:cs="宋体"/>
          <w:sz w:val="24"/>
        </w:rPr>
        <w:t>若与真实情况不符，本公司愿意承担由此而产生的一切后果。</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2702" w:firstLineChars="1126"/>
        <w:rPr>
          <w:rFonts w:ascii="宋体" w:hAnsi="宋体" w:cs="宋体"/>
          <w:sz w:val="24"/>
        </w:rPr>
      </w:pPr>
      <w:r>
        <w:rPr>
          <w:rFonts w:hint="eastAsia" w:ascii="宋体" w:hAnsi="宋体" w:cs="宋体"/>
          <w:sz w:val="24"/>
        </w:rPr>
        <w:t>法定代表人或代理人（签字或盖章）：</w:t>
      </w:r>
    </w:p>
    <w:p>
      <w:pPr>
        <w:spacing w:line="360" w:lineRule="auto"/>
        <w:ind w:firstLine="2702" w:firstLineChars="1126"/>
        <w:rPr>
          <w:rFonts w:ascii="宋体" w:hAnsi="宋体" w:cs="宋体"/>
          <w:sz w:val="24"/>
        </w:rPr>
      </w:pPr>
      <w:r>
        <w:rPr>
          <w:rFonts w:hint="eastAsia" w:ascii="宋体" w:hAnsi="宋体" w:cs="宋体"/>
          <w:sz w:val="24"/>
        </w:rPr>
        <w:t>供应商（公章）：</w:t>
      </w: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jc w:val="both"/>
        <w:rPr>
          <w:rFonts w:ascii="黑体" w:hAnsi="黑体" w:eastAsia="黑体"/>
          <w:b/>
          <w:sz w:val="28"/>
          <w:szCs w:val="28"/>
        </w:rPr>
      </w:pPr>
    </w:p>
    <w:p>
      <w:pPr>
        <w:spacing w:line="560" w:lineRule="exact"/>
        <w:rPr>
          <w:rFonts w:hint="eastAsia" w:ascii="黑体" w:hAnsi="黑体" w:eastAsia="黑体"/>
          <w:b/>
          <w:sz w:val="28"/>
          <w:szCs w:val="28"/>
          <w:lang w:val="en-US" w:eastAsia="zh-CN"/>
        </w:rPr>
      </w:pPr>
      <w:r>
        <w:rPr>
          <w:rFonts w:hint="eastAsia" w:ascii="黑体" w:hAnsi="黑体" w:eastAsia="黑体"/>
          <w:b/>
          <w:sz w:val="28"/>
          <w:szCs w:val="28"/>
          <w:lang w:val="en-US" w:eastAsia="zh-CN"/>
        </w:rPr>
        <w:t>附件十一：</w:t>
      </w:r>
    </w:p>
    <w:p>
      <w:pPr>
        <w:pStyle w:val="2"/>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服务响应承诺函</w:t>
      </w:r>
    </w:p>
    <w:p>
      <w:pPr>
        <w:pStyle w:val="2"/>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（格式自拟）</w:t>
      </w: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ascii="黑体" w:hAnsi="黑体" w:eastAsia="黑体"/>
          <w:b/>
          <w:sz w:val="28"/>
          <w:szCs w:val="28"/>
        </w:rPr>
      </w:pPr>
      <w:r>
        <w:rPr>
          <w:rFonts w:hint="eastAsia" w:ascii="黑体" w:hAnsi="黑体" w:eastAsia="黑体"/>
          <w:b/>
          <w:sz w:val="28"/>
          <w:szCs w:val="28"/>
        </w:rPr>
        <w:t>附件十</w:t>
      </w:r>
      <w:r>
        <w:rPr>
          <w:rFonts w:hint="eastAsia" w:ascii="黑体" w:hAnsi="黑体" w:eastAsia="黑体"/>
          <w:b/>
          <w:sz w:val="28"/>
          <w:szCs w:val="28"/>
          <w:lang w:val="en-US" w:eastAsia="zh-CN"/>
        </w:rPr>
        <w:t>二</w:t>
      </w:r>
      <w:r>
        <w:rPr>
          <w:rFonts w:hint="eastAsia" w:ascii="黑体" w:hAnsi="黑体" w:eastAsia="黑体"/>
          <w:b/>
          <w:sz w:val="28"/>
          <w:szCs w:val="28"/>
        </w:rPr>
        <w:t>：</w:t>
      </w:r>
    </w:p>
    <w:p>
      <w:pPr>
        <w:spacing w:line="560" w:lineRule="exact"/>
        <w:jc w:val="center"/>
        <w:rPr>
          <w:rFonts w:hint="default" w:ascii="黑体" w:hAnsi="黑体" w:eastAsia="黑体"/>
          <w:b/>
          <w:sz w:val="28"/>
          <w:szCs w:val="28"/>
          <w:lang w:val="en-US" w:eastAsia="zh-CN"/>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0"/>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30"/>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6"/>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480" w:lineRule="auto"/>
        <w:jc w:val="both"/>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32"/>
          <w:szCs w:val="32"/>
        </w:rPr>
      </w:pPr>
    </w:p>
    <w:p>
      <w:pPr>
        <w:adjustRightInd w:val="0"/>
        <w:snapToGrid w:val="0"/>
        <w:spacing w:line="480" w:lineRule="auto"/>
        <w:jc w:val="center"/>
        <w:rPr>
          <w:rFonts w:ascii="宋体" w:hAnsi="宋体"/>
          <w:b/>
          <w:snapToGrid w:val="0"/>
          <w:sz w:val="32"/>
          <w:szCs w:val="32"/>
        </w:rPr>
      </w:pPr>
      <w:r>
        <w:rPr>
          <w:rFonts w:hint="eastAsia" w:ascii="宋体" w:hAnsi="宋体"/>
          <w:b/>
          <w:snapToGrid w:val="0"/>
          <w:sz w:val="32"/>
          <w:szCs w:val="32"/>
        </w:rPr>
        <w:t>政府采购信用融资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48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48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48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48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pStyle w:val="19"/>
        <w:rPr>
          <w:rFonts w:hAnsi="宋体" w:cs="宋体"/>
          <w:sz w:val="24"/>
          <w:szCs w:val="24"/>
        </w:rPr>
      </w:pPr>
    </w:p>
    <w:p>
      <w:pPr>
        <w:rPr>
          <w:rFonts w:ascii="宋体" w:hAnsi="宋体" w:cs="宋体"/>
          <w:sz w:val="24"/>
          <w:szCs w:val="24"/>
        </w:rPr>
      </w:pPr>
    </w:p>
    <w:p>
      <w:pPr>
        <w:pStyle w:val="19"/>
        <w:rPr>
          <w:rFonts w:hAnsi="宋体" w:cs="宋体"/>
          <w:sz w:val="24"/>
          <w:szCs w:val="24"/>
        </w:rPr>
      </w:pPr>
    </w:p>
    <w:p>
      <w:pPr>
        <w:tabs>
          <w:tab w:val="left" w:pos="471"/>
        </w:tabs>
        <w:spacing w:line="48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20"/>
        <w:tblpPr w:leftFromText="180" w:rightFromText="180" w:vertAnchor="text" w:horzAnchor="page" w:tblpX="1416" w:tblpY="112"/>
        <w:tblOverlap w:val="never"/>
        <w:tblW w:w="8958" w:type="dxa"/>
        <w:tblInd w:w="0" w:type="dxa"/>
        <w:tblLayout w:type="fixed"/>
        <w:tblCellMar>
          <w:top w:w="0" w:type="dxa"/>
          <w:left w:w="0" w:type="dxa"/>
          <w:bottom w:w="0" w:type="dxa"/>
          <w:right w:w="0" w:type="dxa"/>
        </w:tblCellMar>
      </w:tblPr>
      <w:tblGrid>
        <w:gridCol w:w="4302"/>
        <w:gridCol w:w="1164"/>
        <w:gridCol w:w="1769"/>
        <w:gridCol w:w="1723"/>
      </w:tblGrid>
      <w:tr>
        <w:tblPrEx>
          <w:tblCellMar>
            <w:top w:w="0" w:type="dxa"/>
            <w:left w:w="0" w:type="dxa"/>
            <w:bottom w:w="0" w:type="dxa"/>
            <w:right w:w="0" w:type="dxa"/>
          </w:tblCellMar>
        </w:tblPrEx>
        <w:trPr>
          <w:trHeight w:val="506"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合作银行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联系电话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贷款利率上限</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333333"/>
                <w:sz w:val="24"/>
                <w:szCs w:val="24"/>
              </w:rPr>
            </w:pPr>
            <w:r>
              <w:rPr>
                <w:rStyle w:val="48"/>
                <w:rFonts w:hint="default" w:ascii="宋体" w:hAnsi="宋体" w:eastAsia="宋体" w:cs="宋体"/>
                <w:sz w:val="24"/>
                <w:szCs w:val="24"/>
              </w:rPr>
              <w:t>江苏江南农村商业银行股份有限公司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潘 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0519-80585945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江苏银行股份有限公司常州分行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夏文强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13861269216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2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中信银行股份有限公司常州分行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于 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13861079977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LPR+50个基点</w:t>
            </w:r>
          </w:p>
        </w:tc>
      </w:tr>
      <w:tr>
        <w:tblPrEx>
          <w:tblCellMar>
            <w:top w:w="0" w:type="dxa"/>
            <w:left w:w="0" w:type="dxa"/>
            <w:bottom w:w="0" w:type="dxa"/>
            <w:right w:w="0" w:type="dxa"/>
          </w:tblCellMar>
        </w:tblPrEx>
        <w:trPr>
          <w:trHeight w:val="65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中国建设银行银行股份有限公司常州分行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李 蕾</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0519-86812870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650"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中国邮政储蓄银行常州市分行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成 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18006121930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0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恽 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0519-88178290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LPR+80个基点</w:t>
            </w:r>
          </w:p>
        </w:tc>
      </w:tr>
    </w:tbl>
    <w:p>
      <w:pPr>
        <w:pStyle w:val="19"/>
        <w:ind w:firstLine="0"/>
      </w:pPr>
    </w:p>
    <w:p/>
    <w:p>
      <w:pPr>
        <w:pStyle w:val="19"/>
      </w:pPr>
    </w:p>
    <w:p>
      <w:pPr>
        <w:pStyle w:val="28"/>
        <w:spacing w:line="440" w:lineRule="exact"/>
        <w:ind w:right="0" w:rightChars="0" w:firstLine="56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第七章 采购需求</w:t>
      </w:r>
      <w:bookmarkEnd w:id="25"/>
    </w:p>
    <w:p>
      <w:pPr>
        <w:spacing w:line="480" w:lineRule="auto"/>
        <w:rPr>
          <w:rFonts w:ascii="宋体" w:hAnsi="宋体" w:cs="宋体"/>
          <w:bCs/>
          <w:sz w:val="24"/>
          <w:szCs w:val="24"/>
          <w:u w:val="single"/>
        </w:rPr>
      </w:pPr>
      <w:r>
        <w:rPr>
          <w:rFonts w:hint="eastAsia" w:ascii="宋体" w:hAnsi="宋体" w:cs="宋体"/>
          <w:b/>
          <w:sz w:val="24"/>
          <w:szCs w:val="24"/>
          <w:lang w:val="en-US" w:eastAsia="zh-CN"/>
        </w:rPr>
        <w:t>一</w:t>
      </w:r>
      <w:r>
        <w:rPr>
          <w:rFonts w:hint="eastAsia" w:ascii="宋体" w:hAnsi="宋体" w:cs="宋体"/>
          <w:b/>
          <w:sz w:val="24"/>
          <w:szCs w:val="24"/>
        </w:rPr>
        <w:t>、项目内容</w:t>
      </w:r>
      <w:r>
        <w:rPr>
          <w:rFonts w:hint="eastAsia" w:ascii="宋体" w:hAnsi="宋体" w:cs="宋体"/>
          <w:bCs/>
          <w:sz w:val="24"/>
          <w:szCs w:val="24"/>
        </w:rPr>
        <w:t>：</w:t>
      </w:r>
      <w:r>
        <w:rPr>
          <w:rFonts w:hint="eastAsia" w:ascii="宋体" w:hAnsi="宋体" w:cs="宋体"/>
          <w:bCs/>
          <w:sz w:val="24"/>
          <w:szCs w:val="24"/>
          <w:u w:val="single"/>
        </w:rPr>
        <w:t>后曹沟复耕</w:t>
      </w:r>
      <w:r>
        <w:rPr>
          <w:rFonts w:hint="eastAsia" w:ascii="宋体" w:hAnsi="宋体" w:cs="宋体"/>
          <w:bCs/>
          <w:sz w:val="24"/>
          <w:szCs w:val="24"/>
          <w:u w:val="single"/>
          <w:lang w:val="en-US" w:eastAsia="zh-CN"/>
        </w:rPr>
        <w:t>工程，</w:t>
      </w:r>
      <w:r>
        <w:rPr>
          <w:rFonts w:hint="eastAsia" w:ascii="宋体" w:hAnsi="宋体" w:cs="宋体"/>
          <w:bCs/>
          <w:sz w:val="24"/>
          <w:szCs w:val="24"/>
          <w:u w:val="single"/>
        </w:rPr>
        <w:t>具体施工内容请参考工程量清单；</w:t>
      </w:r>
    </w:p>
    <w:p>
      <w:pPr>
        <w:spacing w:line="48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二</w:t>
      </w:r>
      <w:r>
        <w:rPr>
          <w:rFonts w:hint="eastAsia" w:ascii="宋体" w:hAnsi="宋体" w:cs="宋体"/>
          <w:b/>
          <w:color w:val="000000" w:themeColor="text1"/>
          <w:sz w:val="24"/>
          <w:szCs w:val="24"/>
          <w14:textFill>
            <w14:solidFill>
              <w14:schemeClr w14:val="tx1"/>
            </w14:solidFill>
          </w14:textFill>
        </w:rPr>
        <w:t>、付款方式</w:t>
      </w:r>
      <w:r>
        <w:rPr>
          <w:rFonts w:hint="eastAsia" w:ascii="宋体" w:hAnsi="宋体" w:cs="宋体"/>
          <w:bCs/>
          <w:color w:val="000000" w:themeColor="text1"/>
          <w:sz w:val="24"/>
          <w:szCs w:val="24"/>
          <w:u w:val="single"/>
          <w14:textFill>
            <w14:solidFill>
              <w14:schemeClr w14:val="tx1"/>
            </w14:solidFill>
          </w14:textFill>
        </w:rPr>
        <w:t>：验收合格并审计结束后付至审定价的</w:t>
      </w:r>
      <w:r>
        <w:rPr>
          <w:rFonts w:hint="eastAsia" w:ascii="宋体" w:hAnsi="宋体" w:cs="宋体"/>
          <w:bCs/>
          <w:color w:val="000000" w:themeColor="text1"/>
          <w:sz w:val="24"/>
          <w:szCs w:val="24"/>
          <w:u w:val="single"/>
          <w:lang w:val="en-US" w:eastAsia="zh-CN"/>
          <w14:textFill>
            <w14:solidFill>
              <w14:schemeClr w14:val="tx1"/>
            </w14:solidFill>
          </w14:textFill>
        </w:rPr>
        <w:t>70</w:t>
      </w:r>
      <w:r>
        <w:rPr>
          <w:rFonts w:hint="eastAsia" w:ascii="宋体" w:hAnsi="宋体" w:cs="宋体"/>
          <w:bCs/>
          <w:color w:val="000000" w:themeColor="text1"/>
          <w:sz w:val="24"/>
          <w:szCs w:val="24"/>
          <w:u w:val="single"/>
          <w14:textFill>
            <w14:solidFill>
              <w14:schemeClr w14:val="tx1"/>
            </w14:solidFill>
          </w14:textFill>
        </w:rPr>
        <w:t xml:space="preserve">%，余款一年质保期后付清。 </w:t>
      </w:r>
      <w:r>
        <w:rPr>
          <w:rFonts w:hint="eastAsia" w:ascii="宋体" w:hAnsi="宋体" w:cs="宋体"/>
          <w:bCs/>
          <w:color w:val="000000" w:themeColor="text1"/>
          <w:sz w:val="24"/>
          <w:szCs w:val="24"/>
          <w14:textFill>
            <w14:solidFill>
              <w14:schemeClr w14:val="tx1"/>
            </w14:solidFill>
          </w14:textFill>
        </w:rPr>
        <w:t>；</w:t>
      </w:r>
    </w:p>
    <w:p>
      <w:pPr>
        <w:spacing w:line="48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cs="宋体"/>
          <w:b/>
          <w:color w:val="000000" w:themeColor="text1"/>
          <w:sz w:val="24"/>
          <w:szCs w:val="24"/>
          <w14:textFill>
            <w14:solidFill>
              <w14:schemeClr w14:val="tx1"/>
            </w14:solidFill>
          </w14:textFill>
        </w:rPr>
        <w:t>、质保期</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1年；</w:t>
      </w:r>
    </w:p>
    <w:p>
      <w:pPr>
        <w:pStyle w:val="2"/>
        <w:ind w:left="0" w:leftChars="0" w:firstLine="0" w:firstLineChars="0"/>
        <w:rPr>
          <w:rFonts w:hint="default" w:eastAsia="宋体"/>
          <w:lang w:val="en-US" w:eastAsia="zh-CN"/>
        </w:rPr>
      </w:pPr>
      <w:r>
        <w:rPr>
          <w:rFonts w:hint="eastAsia" w:ascii="宋体" w:hAnsi="宋体" w:cs="宋体"/>
          <w:b/>
          <w:bCs w:val="0"/>
          <w:color w:val="000000" w:themeColor="text1"/>
          <w:sz w:val="24"/>
          <w:szCs w:val="24"/>
          <w:u w:val="none"/>
          <w:lang w:val="en-US" w:eastAsia="zh-CN"/>
          <w14:textFill>
            <w14:solidFill>
              <w14:schemeClr w14:val="tx1"/>
            </w14:solidFill>
          </w14:textFill>
        </w:rPr>
        <w:t>四、工期：</w:t>
      </w:r>
      <w:r>
        <w:rPr>
          <w:rFonts w:hint="eastAsia" w:ascii="宋体" w:hAnsi="宋体" w:cs="宋体"/>
          <w:bCs/>
          <w:color w:val="000000" w:themeColor="text1"/>
          <w:sz w:val="24"/>
          <w:szCs w:val="24"/>
          <w:u w:val="single"/>
          <w:lang w:val="en-US" w:eastAsia="zh-CN"/>
          <w14:textFill>
            <w14:solidFill>
              <w14:schemeClr w14:val="tx1"/>
            </w14:solidFill>
          </w14:textFill>
        </w:rPr>
        <w:t>20天。</w:t>
      </w:r>
    </w:p>
    <w:p>
      <w:pPr>
        <w:pStyle w:val="4"/>
        <w:keepNext w:val="0"/>
        <w:snapToGrid w:val="0"/>
        <w:spacing w:line="360" w:lineRule="auto"/>
        <w:ind w:left="0" w:firstLine="0"/>
        <w:rPr>
          <w:rFonts w:ascii="宋体" w:hAnsi="宋体" w:eastAsia="宋体"/>
          <w:sz w:val="36"/>
          <w:szCs w:val="36"/>
        </w:rPr>
      </w:pPr>
      <w:r>
        <w:rPr>
          <w:rFonts w:hint="eastAsia" w:ascii="黑体" w:hAnsi="黑体" w:cs="黑体"/>
          <w:b w:val="0"/>
          <w:bCs/>
          <w:sz w:val="36"/>
          <w:szCs w:val="36"/>
        </w:rPr>
        <w:t>第八章 评标办法</w:t>
      </w:r>
    </w:p>
    <w:p>
      <w:pPr>
        <w:spacing w:line="400" w:lineRule="exact"/>
        <w:rPr>
          <w:rFonts w:ascii="宋体" w:hAnsi="宋体" w:cs="宋体"/>
          <w:b/>
          <w:bCs/>
          <w:szCs w:val="21"/>
        </w:rPr>
      </w:pPr>
      <w:r>
        <w:rPr>
          <w:rFonts w:hint="eastAsia" w:ascii="宋体" w:hAnsi="宋体" w:cs="宋体"/>
          <w:b/>
          <w:bCs/>
          <w:szCs w:val="21"/>
        </w:rPr>
        <w:t>一、评审办法：</w:t>
      </w:r>
    </w:p>
    <w:p>
      <w:pPr>
        <w:snapToGrid w:val="0"/>
        <w:spacing w:line="312" w:lineRule="auto"/>
        <w:ind w:firstLine="480" w:firstLineChars="200"/>
        <w:rPr>
          <w:rFonts w:ascii="宋体" w:hAnsi="宋体"/>
          <w:color w:val="FF0000"/>
          <w:sz w:val="24"/>
        </w:rPr>
      </w:pPr>
      <w:r>
        <w:rPr>
          <w:rFonts w:hint="eastAsia" w:ascii="宋体" w:hAnsi="宋体"/>
          <w:sz w:val="24"/>
        </w:rPr>
        <w:t>本项目采用综合评分法，由评委会对所有有效投标进行详细的评分，采用百分制计分方法。评标时，评标委员会各成员</w:t>
      </w:r>
      <w:r>
        <w:rPr>
          <w:rFonts w:ascii="宋体" w:hAnsi="宋体"/>
          <w:sz w:val="24"/>
        </w:rPr>
        <w:t>遵循公平、公正、择优原则</w:t>
      </w:r>
      <w:r>
        <w:rPr>
          <w:rFonts w:hint="eastAsia" w:ascii="宋体" w:hAnsi="宋体"/>
          <w:sz w:val="24"/>
        </w:rPr>
        <w:t>，独立对每个有效投标人的标书进行评价、打分，各个投标人的</w:t>
      </w:r>
      <w:r>
        <w:rPr>
          <w:rFonts w:ascii="宋体" w:hAnsi="宋体"/>
          <w:sz w:val="24"/>
        </w:rPr>
        <w:t>评审后</w:t>
      </w:r>
      <w:r>
        <w:rPr>
          <w:rFonts w:hint="eastAsia" w:ascii="宋体" w:hAnsi="宋体"/>
          <w:sz w:val="24"/>
        </w:rPr>
        <w:t>最终得分为汇总计算所有评委所评定分值的平均值（保留2位小数）。</w:t>
      </w:r>
      <w:r>
        <w:rPr>
          <w:rFonts w:ascii="宋体" w:hAnsi="宋体"/>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00" w:lineRule="exact"/>
        <w:ind w:firstLine="480"/>
        <w:rPr>
          <w:rFonts w:hint="eastAsia" w:ascii="宋体" w:hAnsi="宋体"/>
          <w:sz w:val="24"/>
        </w:rPr>
      </w:pPr>
      <w:r>
        <w:rPr>
          <w:rFonts w:hint="eastAsia" w:ascii="宋体" w:hAnsi="宋体"/>
          <w:sz w:val="24"/>
        </w:rPr>
        <w:t>根据江苏省财政厅苏财购[2020]</w:t>
      </w:r>
      <w:r>
        <w:rPr>
          <w:rFonts w:hint="eastAsia" w:ascii="宋体" w:hAnsi="宋体"/>
          <w:sz w:val="24"/>
          <w:lang w:val="en-US" w:eastAsia="zh-CN"/>
        </w:rPr>
        <w:t>46</w:t>
      </w:r>
      <w:r>
        <w:rPr>
          <w:rFonts w:hint="eastAsia" w:ascii="宋体" w:hAnsi="宋体"/>
          <w:sz w:val="24"/>
        </w:rPr>
        <w:t>号文件精神</w:t>
      </w:r>
      <w:r>
        <w:rPr>
          <w:rFonts w:hint="eastAsia" w:ascii="宋体" w:hAnsi="宋体"/>
          <w:sz w:val="24"/>
          <w:lang w:eastAsia="zh-CN"/>
        </w:rPr>
        <w:t>，</w:t>
      </w:r>
      <w:r>
        <w:rPr>
          <w:rFonts w:hint="eastAsia" w:ascii="宋体" w:hAnsi="宋体"/>
          <w:sz w:val="24"/>
        </w:rPr>
        <w:t>对于小微企业提供本企业制造的货物，由本企业承担工程、提供服务，或者提供其他小微企业制造的货物的，进行价格扣除：对经主管预算单位统筹后未预留份额专门面向中小企业采购的项目,以及预留份额项目中的非预留部分采购包,采购人、采购代理机构要严格执行《</w:t>
      </w:r>
      <w:r>
        <w:rPr>
          <w:rFonts w:hint="eastAsia" w:ascii="宋体" w:hAnsi="宋体"/>
          <w:sz w:val="24"/>
          <w:lang w:val="en-US" w:eastAsia="zh-CN"/>
        </w:rPr>
        <w:t>政府采购促进中小企业发展管理</w:t>
      </w:r>
      <w:r>
        <w:rPr>
          <w:rFonts w:hint="eastAsia" w:ascii="宋体" w:hAnsi="宋体"/>
          <w:sz w:val="24"/>
        </w:rPr>
        <w:t>办法》规定的价格评审优惠政策。新冠疫情应急响应解除之前，对上述项目或采购包中的</w:t>
      </w:r>
      <w:r>
        <w:rPr>
          <w:rFonts w:hint="eastAsia" w:ascii="宋体" w:hAnsi="宋体"/>
          <w:b/>
          <w:bCs/>
          <w:sz w:val="24"/>
        </w:rPr>
        <w:t>货物或服务项目</w:t>
      </w:r>
      <w:r>
        <w:rPr>
          <w:rFonts w:hint="eastAsia" w:ascii="宋体" w:hAnsi="宋体"/>
          <w:sz w:val="24"/>
        </w:rPr>
        <w:t>，采购人、采购代理机构应当对符合《</w:t>
      </w:r>
      <w:r>
        <w:rPr>
          <w:rFonts w:hint="eastAsia" w:ascii="宋体" w:hAnsi="宋体"/>
          <w:sz w:val="24"/>
          <w:lang w:val="en-US" w:eastAsia="zh-CN"/>
        </w:rPr>
        <w:t>政府采购促进中小企业发展管理</w:t>
      </w:r>
      <w:r>
        <w:rPr>
          <w:rFonts w:hint="eastAsia" w:ascii="宋体" w:hAnsi="宋体"/>
          <w:sz w:val="24"/>
        </w:rPr>
        <w:t>办法》规定的小微企业报价</w:t>
      </w:r>
      <w:r>
        <w:rPr>
          <w:rFonts w:hint="eastAsia" w:ascii="宋体" w:hAnsi="宋体"/>
          <w:b/>
          <w:bCs/>
          <w:sz w:val="24"/>
        </w:rPr>
        <w:t>给予10%</w:t>
      </w:r>
      <w:r>
        <w:rPr>
          <w:rFonts w:hint="eastAsia" w:ascii="宋体" w:hAnsi="宋体"/>
          <w:sz w:val="24"/>
        </w:rPr>
        <w:t>的价格扣除;对上述项目或采购包中的</w:t>
      </w:r>
      <w:r>
        <w:rPr>
          <w:rFonts w:hint="eastAsia" w:ascii="宋体" w:hAnsi="宋体"/>
          <w:b/>
          <w:bCs/>
          <w:sz w:val="24"/>
        </w:rPr>
        <w:t>工程项目</w:t>
      </w:r>
      <w:r>
        <w:rPr>
          <w:rFonts w:hint="eastAsia" w:ascii="宋体" w:hAnsi="宋体"/>
          <w:sz w:val="24"/>
        </w:rPr>
        <w:t>，采购人、采购代理机构应当对符合《</w:t>
      </w:r>
      <w:r>
        <w:rPr>
          <w:rFonts w:hint="eastAsia" w:ascii="宋体" w:hAnsi="宋体"/>
          <w:sz w:val="24"/>
          <w:lang w:val="en-US" w:eastAsia="zh-CN"/>
        </w:rPr>
        <w:t>政府采购促进中小企业发展管理</w:t>
      </w:r>
      <w:r>
        <w:rPr>
          <w:rFonts w:hint="eastAsia" w:ascii="宋体" w:hAnsi="宋体"/>
          <w:sz w:val="24"/>
        </w:rPr>
        <w:t>办法》规定的小微企业</w:t>
      </w:r>
      <w:r>
        <w:rPr>
          <w:rFonts w:hint="eastAsia" w:ascii="宋体" w:hAnsi="宋体"/>
          <w:b/>
          <w:bCs/>
          <w:sz w:val="24"/>
        </w:rPr>
        <w:t>给予5%</w:t>
      </w:r>
      <w:r>
        <w:rPr>
          <w:rFonts w:hint="eastAsia" w:ascii="宋体" w:hAnsi="宋体"/>
          <w:sz w:val="24"/>
        </w:rPr>
        <w:t>的价格扣除，用扣除后的价格参加评审。</w:t>
      </w:r>
    </w:p>
    <w:p>
      <w:pPr>
        <w:spacing w:line="400" w:lineRule="exact"/>
        <w:rPr>
          <w:rFonts w:ascii="宋体" w:hAnsi="宋体" w:cs="宋体"/>
          <w:b/>
          <w:bCs/>
          <w:szCs w:val="21"/>
        </w:rPr>
      </w:pPr>
      <w:r>
        <w:rPr>
          <w:rFonts w:hint="eastAsia" w:ascii="宋体" w:hAnsi="宋体" w:cs="宋体"/>
          <w:b/>
          <w:bCs/>
          <w:szCs w:val="21"/>
        </w:rPr>
        <w:t>二、评分标准：</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82"/>
        <w:gridCol w:w="674"/>
        <w:gridCol w:w="474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48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w:t>
            </w:r>
          </w:p>
        </w:tc>
        <w:tc>
          <w:tcPr>
            <w:tcW w:w="67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474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评分标准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一、报价部分（总分</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30</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662" w:type="dxa"/>
            <w:vAlign w:val="center"/>
          </w:tcPr>
          <w:p>
            <w:pPr>
              <w:widowControl/>
              <w:spacing w:line="30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有效投标报价</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4744" w:type="dxa"/>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第一步：最终报价在采购预算价格以下的，为有效报价。超出此范围的报价为无效报价。无效报价的投标文件不进行评审，也不中标。</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第二步：</w:t>
            </w:r>
            <w:r>
              <w:rPr>
                <w:rFonts w:hint="eastAsia" w:ascii="宋体" w:hAnsi="宋体" w:eastAsia="宋体" w:cs="宋体"/>
                <w:kern w:val="0"/>
                <w:sz w:val="22"/>
                <w:szCs w:val="22"/>
                <w:lang w:val="en-US" w:eastAsia="zh-CN" w:bidi="ar-SA"/>
              </w:rPr>
              <w:t>满足招标文件要求且投标价格最低的投标报价为评标基准价</w:t>
            </w:r>
            <w:r>
              <w:rPr>
                <w:rFonts w:hint="eastAsia" w:ascii="宋体" w:hAnsi="宋体" w:cs="宋体"/>
                <w:kern w:val="0"/>
                <w:sz w:val="22"/>
                <w:szCs w:val="22"/>
                <w:lang w:val="en-US" w:eastAsia="zh-CN" w:bidi="ar-SA"/>
              </w:rPr>
              <w:t>。</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Theme="minorEastAsia" w:hAnsiTheme="minorEastAsia" w:eastAsiaTheme="minorEastAsia" w:cstheme="minorEastAsia"/>
                <w:kern w:val="0"/>
                <w:szCs w:val="21"/>
              </w:rPr>
            </w:pPr>
            <w:r>
              <w:rPr>
                <w:rFonts w:hint="eastAsia" w:ascii="宋体" w:hAnsi="宋体" w:cs="宋体"/>
                <w:kern w:val="0"/>
                <w:sz w:val="22"/>
                <w:szCs w:val="22"/>
                <w:lang w:val="en-US" w:eastAsia="zh-CN" w:bidi="ar-SA"/>
              </w:rPr>
              <w:t>第三步：将所有有效报价与基准价相比较：等于基准价的得分30分，</w:t>
            </w:r>
            <w:r>
              <w:rPr>
                <w:rFonts w:hint="eastAsia" w:ascii="宋体" w:hAnsi="宋体" w:eastAsia="宋体" w:cs="宋体"/>
                <w:kern w:val="0"/>
                <w:sz w:val="22"/>
                <w:szCs w:val="22"/>
                <w:lang w:val="en-US" w:eastAsia="zh-CN" w:bidi="ar-SA"/>
              </w:rPr>
              <w:t>其他投标人的价格分统一按照下列公式计算（计算结果四舍五入保留两位小数）：最终报价得分＝（基准报价/报价）×</w:t>
            </w:r>
            <w:r>
              <w:rPr>
                <w:rFonts w:hint="eastAsia" w:ascii="宋体" w:hAnsi="宋体" w:cs="宋体"/>
                <w:kern w:val="0"/>
                <w:sz w:val="22"/>
                <w:szCs w:val="22"/>
                <w:lang w:val="en-US" w:eastAsia="zh-CN" w:bidi="ar-SA"/>
              </w:rPr>
              <w:t>3</w:t>
            </w:r>
            <w:r>
              <w:rPr>
                <w:rFonts w:hint="eastAsia" w:ascii="宋体" w:hAnsi="宋体" w:eastAsia="宋体" w:cs="宋体"/>
                <w:kern w:val="0"/>
                <w:sz w:val="22"/>
                <w:szCs w:val="22"/>
                <w:lang w:val="en-US" w:eastAsia="zh-CN" w:bidi="ar-SA"/>
              </w:rPr>
              <w:t>0%×100</w:t>
            </w:r>
          </w:p>
        </w:tc>
        <w:tc>
          <w:tcPr>
            <w:tcW w:w="1476"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bCs/>
                <w:kern w:val="0"/>
                <w:szCs w:val="21"/>
                <w:lang w:val="en-US" w:eastAsia="zh-CN"/>
              </w:rPr>
              <w:t>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二、技术部分（总分</w:t>
            </w:r>
            <w:r>
              <w:rPr>
                <w:rFonts w:hint="eastAsia" w:asciiTheme="minorEastAsia" w:hAnsiTheme="minorEastAsia" w:eastAsiaTheme="minorEastAsia" w:cstheme="minorEastAsia"/>
                <w:b/>
                <w:bCs/>
                <w:kern w:val="0"/>
                <w:szCs w:val="21"/>
                <w:lang w:val="en-US" w:eastAsia="zh-CN"/>
              </w:rPr>
              <w:t>70</w:t>
            </w:r>
            <w:r>
              <w:rPr>
                <w:rFonts w:hint="eastAsia" w:asciiTheme="minorEastAsia" w:hAnsiTheme="minorEastAsia" w:eastAsiaTheme="minorEastAsia" w:cstheme="minorEastAsia"/>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66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48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业绩</w:t>
            </w:r>
          </w:p>
        </w:tc>
        <w:tc>
          <w:tcPr>
            <w:tcW w:w="674" w:type="dxa"/>
            <w:vAlign w:val="center"/>
          </w:tcPr>
          <w:p>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3"/>
              <w:numPr>
                <w:ilvl w:val="0"/>
                <w:numId w:val="7"/>
              </w:numPr>
              <w:spacing w:line="600" w:lineRule="auto"/>
              <w:jc w:val="both"/>
              <w:rPr>
                <w:rFonts w:hint="eastAsia" w:ascii="宋体" w:hAnsi="宋体" w:eastAsia="宋体" w:cs="宋体"/>
              </w:rPr>
            </w:pPr>
            <w:r>
              <w:rPr>
                <w:rFonts w:hint="eastAsia" w:ascii="宋体" w:hAnsi="宋体" w:eastAsia="宋体" w:cs="宋体"/>
                <w:lang w:val="en-US" w:eastAsia="zh-CN"/>
              </w:rPr>
              <w:t>供应商近三年（自磋商之日起往前推算）以来承担的类似工程业绩，每有一个得5分，本项最高得10分。</w:t>
            </w:r>
          </w:p>
        </w:tc>
        <w:tc>
          <w:tcPr>
            <w:tcW w:w="1476" w:type="dxa"/>
            <w:vAlign w:val="center"/>
          </w:tcPr>
          <w:p>
            <w:pPr>
              <w:widowControl/>
              <w:rPr>
                <w:b/>
                <w:bCs/>
              </w:rPr>
            </w:pPr>
          </w:p>
          <w:p>
            <w:pPr>
              <w:widowControl/>
              <w:rPr>
                <w:b/>
                <w:bCs/>
              </w:rPr>
            </w:pPr>
          </w:p>
          <w:p>
            <w:pPr>
              <w:widowControl/>
              <w:rPr>
                <w:b/>
                <w:bCs/>
              </w:rPr>
            </w:pPr>
          </w:p>
          <w:p>
            <w:pPr>
              <w:widowControl/>
              <w:rPr>
                <w:b/>
                <w:bCs/>
              </w:rPr>
            </w:pPr>
            <w:r>
              <w:rPr>
                <w:rFonts w:hint="eastAsia"/>
                <w:b/>
                <w:bCs/>
              </w:rPr>
              <w:t>提供扫描件（盖章）或原件核查，否则不得分。</w:t>
            </w:r>
          </w:p>
          <w:p>
            <w:pPr>
              <w:pStyle w:val="3"/>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jc w:val="center"/>
        </w:trPr>
        <w:tc>
          <w:tcPr>
            <w:tcW w:w="662" w:type="dxa"/>
            <w:vMerge w:val="restart"/>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1482" w:type="dxa"/>
            <w:vMerge w:val="restart"/>
            <w:vAlign w:val="center"/>
          </w:tcPr>
          <w:p>
            <w:pPr>
              <w:widowControl/>
              <w:spacing w:line="300" w:lineRule="exact"/>
              <w:jc w:val="center"/>
              <w:rPr>
                <w:rFonts w:hint="eastAsia" w:ascii="宋体" w:hAnsi="宋体" w:cs="仿宋"/>
                <w:kern w:val="0"/>
                <w:sz w:val="24"/>
              </w:rPr>
            </w:pPr>
            <w:r>
              <w:rPr>
                <w:rFonts w:hint="eastAsia" w:ascii="宋体" w:hAnsi="宋体" w:cs="仿宋"/>
                <w:kern w:val="0"/>
                <w:sz w:val="24"/>
              </w:rPr>
              <w:t>施工组织</w:t>
            </w:r>
          </w:p>
          <w:p>
            <w:pPr>
              <w:widowControl/>
              <w:spacing w:line="300" w:lineRule="exact"/>
              <w:jc w:val="center"/>
              <w:rPr>
                <w:rFonts w:asciiTheme="minorEastAsia" w:hAnsiTheme="minorEastAsia" w:eastAsiaTheme="minorEastAsia" w:cstheme="minorEastAsia"/>
                <w:kern w:val="0"/>
                <w:szCs w:val="21"/>
              </w:rPr>
            </w:pPr>
            <w:r>
              <w:rPr>
                <w:rFonts w:hint="eastAsia" w:ascii="宋体" w:hAnsi="宋体" w:cs="仿宋"/>
                <w:kern w:val="0"/>
                <w:sz w:val="24"/>
              </w:rPr>
              <w:t>设计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14</w:t>
            </w:r>
          </w:p>
        </w:tc>
        <w:tc>
          <w:tcPr>
            <w:tcW w:w="4744" w:type="dxa"/>
            <w:vAlign w:val="center"/>
          </w:tcPr>
          <w:p>
            <w:pPr>
              <w:pStyle w:val="3"/>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1、总体概述：包括但不限于工程概况、施工组织总体设想、方案的针对性及施工段的划分；</w:t>
            </w:r>
          </w:p>
          <w:p>
            <w:pPr>
              <w:pStyle w:val="3"/>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2.方案先进、完整、可行，主导工程内容、施工方法明确、详尽、合理，能完全满足项目实施要求，得</w:t>
            </w:r>
            <w:r>
              <w:rPr>
                <w:rFonts w:hint="eastAsia" w:ascii="宋体" w:hAnsi="宋体" w:cs="宋体"/>
                <w:lang w:val="en-US" w:eastAsia="zh-CN"/>
              </w:rPr>
              <w:t>14</w:t>
            </w:r>
            <w:r>
              <w:rPr>
                <w:rFonts w:hint="eastAsia" w:ascii="宋体" w:hAnsi="宋体" w:eastAsia="宋体" w:cs="宋体"/>
                <w:lang w:val="en-US" w:eastAsia="zh-CN"/>
              </w:rPr>
              <w:t>分；</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方案较先进、完整、可行，主导工程内容、施工方法较明确、详尽、合理，能基本满足项目实施要求，得</w:t>
            </w:r>
            <w:r>
              <w:rPr>
                <w:rFonts w:hint="eastAsia" w:ascii="宋体" w:hAnsi="宋体" w:cs="宋体"/>
                <w:lang w:val="en-US" w:eastAsia="zh-CN"/>
              </w:rPr>
              <w:t>12</w:t>
            </w:r>
            <w:r>
              <w:rPr>
                <w:rFonts w:hint="eastAsia" w:ascii="宋体" w:hAnsi="宋体" w:eastAsia="宋体" w:cs="宋体"/>
                <w:lang w:val="en-US" w:eastAsia="zh-CN"/>
              </w:rPr>
              <w:t>分</w:t>
            </w:r>
            <w:r>
              <w:rPr>
                <w:rFonts w:hint="eastAsia" w:ascii="宋体" w:hAnsi="宋体" w:cs="宋体"/>
                <w:lang w:val="en-US" w:eastAsia="zh-CN"/>
              </w:rPr>
              <w:t>-8分</w:t>
            </w:r>
            <w:r>
              <w:rPr>
                <w:rFonts w:hint="eastAsia" w:ascii="宋体" w:hAnsi="宋体" w:eastAsia="宋体" w:cs="宋体"/>
                <w:lang w:val="en-US" w:eastAsia="zh-CN"/>
              </w:rPr>
              <w:t>；</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方案内容较简单，对项目实施要求响应一般，得</w:t>
            </w:r>
            <w:r>
              <w:rPr>
                <w:rFonts w:hint="eastAsia" w:ascii="宋体" w:hAnsi="宋体" w:cs="宋体"/>
                <w:lang w:val="en-US" w:eastAsia="zh-CN"/>
              </w:rPr>
              <w:t>6</w:t>
            </w:r>
            <w:r>
              <w:rPr>
                <w:rFonts w:hint="eastAsia" w:ascii="宋体" w:hAnsi="宋体" w:eastAsia="宋体" w:cs="宋体"/>
                <w:lang w:val="en-US" w:eastAsia="zh-CN"/>
              </w:rPr>
              <w:t>分</w:t>
            </w:r>
            <w:r>
              <w:rPr>
                <w:rFonts w:hint="eastAsia" w:ascii="宋体" w:hAnsi="宋体" w:cs="宋体"/>
                <w:lang w:val="en-US" w:eastAsia="zh-CN"/>
              </w:rPr>
              <w:t>-2分</w:t>
            </w:r>
            <w:r>
              <w:rPr>
                <w:rFonts w:hint="eastAsia" w:ascii="宋体" w:hAnsi="宋体" w:eastAsia="宋体" w:cs="宋体"/>
                <w:lang w:val="en-US" w:eastAsia="zh-CN"/>
              </w:rPr>
              <w:t>；</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方案内容较差、无针对性或可行性较差，得</w:t>
            </w:r>
            <w:r>
              <w:rPr>
                <w:rFonts w:hint="eastAsia" w:ascii="宋体" w:hAnsi="宋体" w:cs="宋体"/>
                <w:lang w:val="en-US" w:eastAsia="zh-CN"/>
              </w:rPr>
              <w:t>1</w:t>
            </w:r>
            <w:r>
              <w:rPr>
                <w:rFonts w:hint="eastAsia" w:ascii="宋体" w:hAnsi="宋体" w:eastAsia="宋体" w:cs="宋体"/>
                <w:lang w:val="en-US" w:eastAsia="zh-CN"/>
              </w:rPr>
              <w:t>分；</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未提供本项目不得分。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widowControl/>
              <w:spacing w:line="300" w:lineRule="exact"/>
              <w:jc w:val="center"/>
              <w:rPr>
                <w:rFonts w:hint="eastAsia" w:asciiTheme="minorEastAsia" w:hAnsiTheme="minorEastAsia" w:eastAsiaTheme="minorEastAsia" w:cstheme="minorEastAsia"/>
                <w:kern w:val="0"/>
                <w:szCs w:val="21"/>
                <w:lang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spacing w:line="360" w:lineRule="exact"/>
              <w:ind w:firstLine="420"/>
              <w:rPr>
                <w:rFonts w:asciiTheme="minorEastAsia" w:hAnsiTheme="minorEastAsia" w:eastAsiaTheme="minorEastAsia" w:cstheme="minorEastAsia"/>
                <w:bCs/>
                <w:kern w:val="0"/>
                <w:szCs w:val="21"/>
              </w:rPr>
            </w:pPr>
            <w:r>
              <w:rPr>
                <w:rFonts w:hint="eastAsia"/>
                <w:lang w:val="en-US" w:eastAsia="zh-CN"/>
              </w:rPr>
              <w:t>1、</w:t>
            </w:r>
            <w:r>
              <w:rPr>
                <w:rFonts w:hint="eastAsia" w:asciiTheme="minorEastAsia" w:hAnsiTheme="minorEastAsia" w:eastAsiaTheme="minorEastAsia" w:cstheme="minorEastAsia"/>
                <w:bCs/>
                <w:kern w:val="0"/>
                <w:szCs w:val="21"/>
              </w:rPr>
              <w:t>施工现场平面布置：包括但不限于临时设施的布置，施工机械、材料、周转材料、加工场地、各类仓库的布置摆放，临时线路的布置</w:t>
            </w:r>
          </w:p>
          <w:p>
            <w:pPr>
              <w:tabs>
                <w:tab w:val="left" w:pos="5940"/>
              </w:tabs>
              <w:snapToGrid w:val="0"/>
              <w:spacing w:line="360" w:lineRule="exact"/>
              <w:ind w:firstLine="420"/>
              <w:jc w:val="left"/>
              <w:rPr>
                <w:rFonts w:asciiTheme="minorEastAsia" w:hAnsiTheme="minorEastAsia" w:eastAsiaTheme="minorEastAsia" w:cstheme="minorEastAsia"/>
                <w:bCs/>
                <w:kern w:val="0"/>
                <w:szCs w:val="21"/>
              </w:rPr>
            </w:pPr>
            <w:r>
              <w:rPr>
                <w:rFonts w:hint="eastAsia" w:asciiTheme="minorEastAsia" w:hAnsiTheme="minorEastAsia" w:eastAsiaTheme="minorEastAsia"/>
                <w:bCs/>
                <w:szCs w:val="21"/>
              </w:rPr>
              <w:t>方案完整、可行，</w:t>
            </w:r>
            <w:r>
              <w:rPr>
                <w:rFonts w:hint="eastAsia" w:asciiTheme="minorEastAsia" w:hAnsiTheme="minorEastAsia" w:eastAsiaTheme="minorEastAsia" w:cstheme="minorEastAsia"/>
                <w:bCs/>
                <w:kern w:val="0"/>
                <w:szCs w:val="21"/>
              </w:rPr>
              <w:t>平面及其它布置合理、详尽，使用安全、方便，交通畅通，</w:t>
            </w:r>
            <w:r>
              <w:rPr>
                <w:rFonts w:hint="eastAsia" w:asciiTheme="minorEastAsia" w:hAnsiTheme="minorEastAsia" w:eastAsiaTheme="minorEastAsia"/>
                <w:bCs/>
                <w:szCs w:val="21"/>
              </w:rPr>
              <w:t>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w:t>
            </w:r>
            <w:r>
              <w:rPr>
                <w:rFonts w:hint="eastAsia" w:asciiTheme="minorEastAsia" w:hAnsiTheme="minorEastAsia" w:eastAsiaTheme="minorEastAsia" w:cstheme="minorEastAsia"/>
                <w:bCs/>
                <w:kern w:val="0"/>
                <w:szCs w:val="21"/>
              </w:rPr>
              <w:t>平面及其它布置较合理、详尽，使用较安全、方便，交通较畅通，</w:t>
            </w:r>
            <w:r>
              <w:rPr>
                <w:rFonts w:hint="eastAsia" w:asciiTheme="minorEastAsia" w:hAnsiTheme="minorEastAsia" w:eastAsiaTheme="minorEastAsia"/>
                <w:bCs/>
                <w:szCs w:val="21"/>
              </w:rPr>
              <w:t>能基本满足项目实施要求，得</w:t>
            </w:r>
            <w:r>
              <w:rPr>
                <w:rFonts w:hint="eastAsia" w:asciiTheme="minorEastAsia" w:hAnsiTheme="minorEastAsia" w:eastAsiaTheme="minorEastAsia"/>
                <w:bCs/>
                <w:szCs w:val="21"/>
                <w:lang w:val="en-US" w:eastAsia="zh-CN"/>
              </w:rPr>
              <w:t>5分-4</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662" w:type="dxa"/>
            <w:vMerge w:val="continue"/>
            <w:vAlign w:val="center"/>
          </w:tcPr>
          <w:p>
            <w:pPr>
              <w:widowControl/>
              <w:spacing w:line="300" w:lineRule="exact"/>
              <w:jc w:val="center"/>
              <w:rPr>
                <w:rFonts w:hint="eastAsia" w:asciiTheme="minorEastAsia" w:hAnsiTheme="minorEastAsia" w:eastAsiaTheme="minorEastAsia" w:cstheme="minorEastAsia"/>
                <w:kern w:val="0"/>
                <w:szCs w:val="21"/>
                <w:lang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w:t>
            </w:r>
          </w:p>
        </w:tc>
        <w:tc>
          <w:tcPr>
            <w:tcW w:w="4744" w:type="dxa"/>
            <w:vAlign w:val="center"/>
          </w:tcPr>
          <w:p>
            <w:pPr>
              <w:spacing w:line="360" w:lineRule="exact"/>
              <w:rPr>
                <w:rFonts w:hint="eastAsia" w:asciiTheme="minorEastAsia" w:hAnsiTheme="minorEastAsia" w:eastAsiaTheme="minorEastAsia" w:cstheme="minorEastAsia"/>
                <w:b/>
                <w:bCs w:val="0"/>
                <w:kern w:val="0"/>
                <w:szCs w:val="21"/>
                <w:lang w:eastAsia="zh-CN"/>
              </w:rPr>
            </w:pPr>
            <w:r>
              <w:rPr>
                <w:rFonts w:hint="eastAsia" w:asciiTheme="minorEastAsia" w:hAnsiTheme="minorEastAsia" w:eastAsiaTheme="minorEastAsia"/>
                <w:b/>
                <w:bCs w:val="0"/>
                <w:szCs w:val="21"/>
                <w:lang w:val="en-US" w:eastAsia="zh-CN"/>
              </w:rPr>
              <w:t>1、</w:t>
            </w:r>
            <w:r>
              <w:rPr>
                <w:rFonts w:hint="eastAsia" w:asciiTheme="minorEastAsia" w:hAnsiTheme="minorEastAsia" w:eastAsiaTheme="minorEastAsia"/>
                <w:b/>
                <w:bCs w:val="0"/>
                <w:szCs w:val="21"/>
              </w:rPr>
              <w:t>安全生产</w:t>
            </w:r>
            <w:r>
              <w:rPr>
                <w:rFonts w:hint="eastAsia" w:asciiTheme="minorEastAsia" w:hAnsiTheme="minorEastAsia" w:eastAsiaTheme="minorEastAsia" w:cstheme="minorEastAsia"/>
                <w:b/>
                <w:bCs w:val="0"/>
                <w:kern w:val="0"/>
                <w:szCs w:val="21"/>
              </w:rPr>
              <w:t>的保证措施</w:t>
            </w:r>
            <w:r>
              <w:rPr>
                <w:rFonts w:hint="eastAsia" w:asciiTheme="minorEastAsia" w:hAnsiTheme="minorEastAsia" w:eastAsiaTheme="minorEastAsia" w:cstheme="minorEastAsia"/>
                <w:b/>
                <w:bCs w:val="0"/>
                <w:kern w:val="0"/>
                <w:szCs w:val="21"/>
                <w:lang w:eastAsia="zh-CN"/>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方案完整、可行，能完全满足项目实施要求，得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spacing w:line="360" w:lineRule="exact"/>
              <w:rPr>
                <w:rFonts w:hint="eastAsia" w:asciiTheme="minorEastAsia" w:hAnsiTheme="minorEastAsia" w:eastAsiaTheme="minorEastAsia"/>
                <w:b/>
                <w:bCs w:val="0"/>
                <w:szCs w:val="21"/>
                <w:lang w:eastAsia="zh-CN"/>
              </w:rPr>
            </w:pPr>
            <w:r>
              <w:rPr>
                <w:rFonts w:hint="eastAsia" w:asciiTheme="minorEastAsia" w:hAnsiTheme="minorEastAsia" w:eastAsiaTheme="minorEastAsia"/>
                <w:b/>
                <w:bCs w:val="0"/>
                <w:szCs w:val="21"/>
                <w:lang w:val="en-US" w:eastAsia="zh-CN"/>
              </w:rPr>
              <w:t>2、</w:t>
            </w:r>
            <w:r>
              <w:rPr>
                <w:rFonts w:hint="eastAsia" w:asciiTheme="minorEastAsia" w:hAnsiTheme="minorEastAsia" w:eastAsiaTheme="minorEastAsia"/>
                <w:b/>
                <w:bCs w:val="0"/>
                <w:szCs w:val="21"/>
              </w:rPr>
              <w:t>文明施工的保证措施</w:t>
            </w:r>
            <w:r>
              <w:rPr>
                <w:rFonts w:hint="eastAsia" w:asciiTheme="minorEastAsia" w:hAnsiTheme="minorEastAsia" w:eastAsiaTheme="minorEastAsia"/>
                <w:b/>
                <w:bCs w:val="0"/>
                <w:szCs w:val="21"/>
                <w:lang w:eastAsia="zh-CN"/>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方案完整、可行，能完全满足项目实施要求，得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Merge w:val="continue"/>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numPr>
                <w:ilvl w:val="0"/>
                <w:numId w:val="8"/>
              </w:numPr>
              <w:spacing w:line="36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施工进度计划和各阶段进度的保证措施</w:t>
            </w:r>
            <w:r>
              <w:rPr>
                <w:rFonts w:hint="eastAsia" w:asciiTheme="minorEastAsia" w:hAnsiTheme="minorEastAsia" w:eastAsiaTheme="minorEastAsia" w:cstheme="minorEastAsia"/>
                <w:bCs/>
                <w:kern w:val="0"/>
                <w:szCs w:val="21"/>
                <w:lang w:eastAsia="zh-CN"/>
              </w:rPr>
              <w:t>：</w:t>
            </w:r>
          </w:p>
          <w:p>
            <w:pPr>
              <w:numPr>
                <w:ilvl w:val="0"/>
                <w:numId w:val="0"/>
              </w:numPr>
              <w:spacing w:line="3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方案完整、可行，工期满足要求，工期提前有保证措施，进度计划与工期安排衔接对应，能完全满足项目实施要求，得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方案较具体、可行，工期基本满足要求，进度计划与工期安排衔接基本对应，能基本满足项目实施要求，得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pStyle w:val="3"/>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spacing w:line="360" w:lineRule="exac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lang w:val="en-US" w:eastAsia="zh-CN"/>
              </w:rPr>
              <w:t>1、</w:t>
            </w:r>
            <w:r>
              <w:rPr>
                <w:rFonts w:hint="eastAsia" w:asciiTheme="minorEastAsia" w:hAnsiTheme="minorEastAsia" w:eastAsiaTheme="minorEastAsia" w:cstheme="minorEastAsia"/>
                <w:bCs/>
                <w:kern w:val="0"/>
                <w:szCs w:val="21"/>
              </w:rPr>
              <w:t>劳动力、机械设备和材料投入计划、进退场计划</w:t>
            </w:r>
            <w:r>
              <w:rPr>
                <w:rFonts w:hint="eastAsia" w:asciiTheme="minorEastAsia" w:hAnsiTheme="minorEastAsia" w:eastAsiaTheme="minorEastAsia" w:cstheme="minorEastAsia"/>
                <w:bCs/>
                <w:kern w:val="0"/>
                <w:szCs w:val="21"/>
                <w:lang w:eastAsia="zh-CN"/>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方案完整、可行，劳动力安排合理，进度计划安排对应，能完全满足项目实施要求，得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方案较具体、可行，劳动力安排基本合理，进度计划安排基本对应，能基本满足项目实施要求，得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pStyle w:val="3"/>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合理化建议</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4744" w:type="dxa"/>
            <w:vAlign w:val="center"/>
          </w:tcPr>
          <w:p>
            <w:pPr>
              <w:pStyle w:val="3"/>
              <w:numPr>
                <w:ilvl w:val="0"/>
                <w:numId w:val="0"/>
              </w:numPr>
              <w:ind w:leftChars="0"/>
              <w:rPr>
                <w:rFonts w:hint="default"/>
                <w:lang w:val="en-US" w:eastAsia="zh-CN"/>
              </w:rPr>
            </w:pPr>
            <w:r>
              <w:rPr>
                <w:rFonts w:hint="eastAsia"/>
                <w:lang w:val="en-US" w:eastAsia="zh-CN"/>
              </w:rPr>
              <w:t>针对本工程的合理化建议：优得5分，4.0分≥良＞2.0，1.0≥差＞0，无不得分。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售后服务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pStyle w:val="3"/>
              <w:numPr>
                <w:ilvl w:val="0"/>
                <w:numId w:val="0"/>
              </w:numPr>
              <w:ind w:leftChars="0"/>
              <w:rPr>
                <w:rFonts w:hint="eastAsia"/>
                <w:lang w:val="en-US" w:eastAsia="zh-CN"/>
              </w:rPr>
            </w:pPr>
            <w:r>
              <w:rPr>
                <w:rFonts w:hint="eastAsia"/>
                <w:lang w:val="en-US" w:eastAsia="zh-CN"/>
              </w:rPr>
              <w:t>评委根据投标人提供的售后服务方案进行酌情打分：优得6分，5.0分≥良＞3.0，2.0≥差＞0，无不得分。</w:t>
            </w:r>
          </w:p>
          <w:p>
            <w:pPr>
              <w:rPr>
                <w:rFonts w:hint="default"/>
                <w:lang w:val="en-US" w:eastAsia="zh-CN"/>
              </w:rPr>
            </w:pPr>
            <w:r>
              <w:rPr>
                <w:rFonts w:hint="eastAsia"/>
                <w:lang w:val="en-US" w:eastAsia="zh-CN"/>
              </w:rPr>
              <w:t>（具体包括：质保期限、售后相应时间和服务体系，服务承诺的可行性、完整性以及服务承诺落实的保障措施）</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lang w:val="en-US" w:eastAsia="zh-CN"/>
              </w:rPr>
              <w:t>5</w:t>
            </w:r>
          </w:p>
        </w:tc>
        <w:tc>
          <w:tcPr>
            <w:tcW w:w="1482"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lang w:val="en-US" w:eastAsia="zh-CN"/>
              </w:rPr>
              <w:t>服务响应</w:t>
            </w:r>
          </w:p>
        </w:tc>
        <w:tc>
          <w:tcPr>
            <w:tcW w:w="674"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lang w:val="en-US" w:eastAsia="zh-CN"/>
              </w:rPr>
              <w:t>5</w:t>
            </w:r>
          </w:p>
        </w:tc>
        <w:tc>
          <w:tcPr>
            <w:tcW w:w="4744"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投标人承诺在质保期内遇到突发状况2小时内到达得2分；1小时内到达得5分；不承诺得不得分。</w:t>
            </w:r>
          </w:p>
        </w:tc>
        <w:tc>
          <w:tcPr>
            <w:tcW w:w="1476" w:type="dxa"/>
            <w:vAlign w:val="center"/>
          </w:tcPr>
          <w:p>
            <w:pPr>
              <w:widowControl/>
              <w:spacing w:line="300" w:lineRule="exact"/>
              <w:jc w:val="center"/>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以承诺书</w:t>
            </w:r>
          </w:p>
          <w:p>
            <w:pPr>
              <w:widowControl/>
              <w:spacing w:line="300" w:lineRule="exact"/>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kern w:val="0"/>
                <w:szCs w:val="21"/>
                <w:lang w:val="en-US" w:eastAsia="zh-CN"/>
              </w:rPr>
              <w:t>为准</w:t>
            </w:r>
          </w:p>
        </w:tc>
      </w:tr>
    </w:tbl>
    <w:p>
      <w:pPr>
        <w:tabs>
          <w:tab w:val="left" w:pos="5940"/>
        </w:tabs>
        <w:snapToGrid w:val="0"/>
        <w:spacing w:line="400" w:lineRule="exact"/>
        <w:jc w:val="left"/>
        <w:rPr>
          <w:rFonts w:ascii="宋体" w:hAnsi="宋体" w:cs="宋体"/>
          <w:b/>
          <w:szCs w:val="21"/>
        </w:rPr>
      </w:pPr>
      <w:r>
        <w:rPr>
          <w:rFonts w:hint="eastAsia" w:ascii="宋体" w:hAnsi="宋体" w:cs="宋体"/>
          <w:b/>
          <w:szCs w:val="21"/>
        </w:rPr>
        <w:t xml:space="preserve">注： </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1.评分细则中要求提供的证明文件及资料等在投标文件中提供复印件并加盖公章，要求“原件或公证件核查”的必须将原件或公证件携带至开标现场核查，否则不得分。</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2.评标时，未能按以上要求提供相应证明（加盖公章的扫描件或原件或公证件）的，不作为评标依据，不得分。</w:t>
      </w:r>
    </w:p>
    <w:p>
      <w:pPr>
        <w:spacing w:line="400" w:lineRule="exact"/>
        <w:ind w:firstLine="402" w:firstLineChars="200"/>
        <w:rPr>
          <w:rFonts w:ascii="宋体" w:hAnsi="宋体" w:cs="宋体"/>
          <w:b/>
          <w:sz w:val="20"/>
          <w:szCs w:val="20"/>
          <w:highlight w:val="yellow"/>
        </w:rPr>
      </w:pPr>
      <w:r>
        <w:rPr>
          <w:rFonts w:hint="eastAsia" w:ascii="宋体" w:hAnsi="宋体" w:cs="宋体"/>
          <w:b/>
          <w:sz w:val="20"/>
          <w:szCs w:val="20"/>
        </w:rPr>
        <w:t>3.在递交投标文件时投标单位应将所有企业原件（或公证件或加盖公章的扫描件）一并提交至招标代理机构，投标文件递交时间截止，招标代理机构将不接收任何资料及原件。</w:t>
      </w:r>
    </w:p>
    <w:p>
      <w:pPr>
        <w:widowControl/>
        <w:spacing w:line="400" w:lineRule="exact"/>
        <w:ind w:firstLine="402" w:firstLineChars="200"/>
        <w:jc w:val="left"/>
        <w:rPr>
          <w:rFonts w:ascii="宋体" w:hAnsi="宋体" w:cs="宋体"/>
          <w:b/>
          <w:sz w:val="20"/>
          <w:szCs w:val="20"/>
        </w:rPr>
      </w:pPr>
      <w:r>
        <w:rPr>
          <w:rFonts w:hint="eastAsia" w:ascii="宋体" w:hAnsi="宋体" w:cs="宋体"/>
          <w:b/>
          <w:sz w:val="20"/>
          <w:szCs w:val="20"/>
        </w:rPr>
        <w:t>4.为便于评分，请投标单位按评分表样式，逐条列出证明材料所在页码，格式自拟。</w:t>
      </w:r>
    </w:p>
    <w:bookmarkEnd w:id="26"/>
    <w:p>
      <w:pPr>
        <w:pStyle w:val="4"/>
        <w:snapToGrid w:val="0"/>
        <w:spacing w:before="156" w:beforeLines="50" w:line="276" w:lineRule="auto"/>
        <w:ind w:left="0" w:firstLine="0"/>
        <w:rPr>
          <w:rFonts w:asciiTheme="minorEastAsia" w:hAnsiTheme="minorEastAsia" w:eastAsiaTheme="minorEastAsia" w:cstheme="minorEastAsia"/>
          <w:sz w:val="30"/>
          <w:szCs w:val="30"/>
        </w:rPr>
      </w:pPr>
      <w:bookmarkStart w:id="117" w:name="_Toc45823536"/>
      <w:r>
        <w:rPr>
          <w:rFonts w:hint="eastAsia" w:asciiTheme="minorEastAsia" w:hAnsiTheme="minorEastAsia" w:eastAsiaTheme="minorEastAsia" w:cstheme="minorEastAsia"/>
          <w:sz w:val="30"/>
          <w:szCs w:val="30"/>
        </w:rPr>
        <w:t>第九章  合同</w:t>
      </w:r>
      <w:bookmarkEnd w:id="117"/>
    </w:p>
    <w:p/>
    <w:p>
      <w:pPr>
        <w:rPr>
          <w:b/>
          <w:bCs/>
          <w:sz w:val="24"/>
          <w:szCs w:val="32"/>
        </w:rPr>
      </w:pPr>
      <w:r>
        <w:rPr>
          <w:rFonts w:hint="eastAsia"/>
          <w:b/>
          <w:bCs/>
          <w:sz w:val="24"/>
          <w:szCs w:val="32"/>
        </w:rPr>
        <w:t>（参考格式，本合同内容条款在正式签署前可具体补充细化，仅做参考，最终合同以采购人审查通过的版本为准）</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微软雅黑" w:hAnsi="微软雅黑" w:eastAsia="微软雅黑" w:cs="微软雅黑"/>
          <w:kern w:val="0"/>
          <w:sz w:val="24"/>
          <w:szCs w:val="24"/>
          <w:lang w:val="zh-CN"/>
        </w:rPr>
      </w:pPr>
      <w:bookmarkStart w:id="118" w:name="_Toc351203632"/>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微软雅黑" w:hAnsi="微软雅黑" w:eastAsia="微软雅黑" w:cs="微软雅黑"/>
          <w:kern w:val="0"/>
          <w:sz w:val="24"/>
          <w:szCs w:val="24"/>
          <w:lang w:val="zh-CN"/>
        </w:rPr>
        <w:t>　　</w:t>
      </w:r>
      <w:r>
        <w:rPr>
          <w:rFonts w:hint="eastAsia" w:ascii="宋体" w:hAnsi="宋体"/>
          <w:sz w:val="24"/>
          <w:lang w:val="zh-CN"/>
        </w:rPr>
        <w:t>发包方（甲方）：</w:t>
      </w:r>
      <w:r>
        <w:rPr>
          <w:rFonts w:hint="eastAsia" w:ascii="宋体" w:hAnsi="宋体"/>
          <w:sz w:val="24"/>
          <w:u w:val="single"/>
          <w:lang w:val="zh-CN"/>
        </w:rPr>
        <w:t>常州市天宁区青龙街道办事处</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承包方（乙方）：</w:t>
      </w:r>
      <w:r>
        <w:rPr>
          <w:rFonts w:hint="eastAsia" w:ascii="宋体" w:hAnsi="宋体"/>
          <w:sz w:val="24"/>
          <w:u w:val="single"/>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w:t>
      </w:r>
      <w:r>
        <w:rPr>
          <w:rFonts w:ascii="宋体" w:hAnsi="宋体"/>
          <w:sz w:val="24"/>
        </w:rPr>
        <w:t>根据《中华人民共和国</w:t>
      </w:r>
      <w:r>
        <w:rPr>
          <w:rFonts w:hint="eastAsia" w:ascii="宋体" w:hAnsi="宋体"/>
          <w:sz w:val="24"/>
          <w:lang w:eastAsia="zh-CN"/>
        </w:rPr>
        <w:t>民法典</w:t>
      </w:r>
      <w:r>
        <w:rPr>
          <w:rFonts w:ascii="宋体" w:hAnsi="宋体"/>
          <w:sz w:val="24"/>
        </w:rPr>
        <w:t>》、《中华人民共和国建筑法》及有关法律规定，</w:t>
      </w:r>
      <w:r>
        <w:rPr>
          <w:rFonts w:hint="eastAsia" w:ascii="宋体" w:hAnsi="宋体"/>
          <w:sz w:val="24"/>
          <w:lang w:val="zh-CN"/>
        </w:rPr>
        <w:t xml:space="preserve">结合本工程具体情况，双方达成如下协议。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xml:space="preserve">　　第一条　工程概况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u w:val="single"/>
          <w:lang w:val="zh-CN"/>
        </w:rPr>
      </w:pPr>
      <w:r>
        <w:rPr>
          <w:rFonts w:hint="eastAsia" w:ascii="宋体" w:hAnsi="宋体"/>
          <w:sz w:val="24"/>
          <w:lang w:val="zh-CN"/>
        </w:rPr>
        <w:t>　　１．１　工程名称:</w:t>
      </w:r>
      <w:r>
        <w:rPr>
          <w:rFonts w:hint="eastAsia" w:ascii="宋体" w:hAnsi="宋体"/>
          <w:sz w:val="24"/>
          <w:u w:val="single"/>
          <w:lang w:val="zh-CN"/>
        </w:rPr>
        <w:t xml:space="preserve"> 后曹沟复耕工程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sz w:val="24"/>
          <w:lang w:val="zh-CN"/>
        </w:rPr>
        <w:t>　</w:t>
      </w:r>
      <w:r>
        <w:rPr>
          <w:rFonts w:hint="eastAsia" w:ascii="宋体" w:hAnsi="宋体"/>
          <w:color w:val="000000" w:themeColor="text1"/>
          <w:sz w:val="24"/>
          <w:lang w:val="zh-CN"/>
          <w14:textFill>
            <w14:solidFill>
              <w14:schemeClr w14:val="tx1"/>
            </w14:solidFill>
          </w14:textFill>
        </w:rPr>
        <w:t>　１．２　工程地点：</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１．３　承包范围：</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u w:val="singl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１．４　承包方式：</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１．５　工期：</w:t>
      </w:r>
      <w:r>
        <w:rPr>
          <w:rFonts w:hint="eastAsia" w:ascii="宋体" w:hAnsi="宋体"/>
          <w:color w:val="000000" w:themeColor="text1"/>
          <w:sz w:val="24"/>
          <w:lang w:val="en-US" w:eastAsia="zh-CN"/>
          <w14:textFill>
            <w14:solidFill>
              <w14:schemeClr w14:val="tx1"/>
            </w14:solidFill>
          </w14:textFill>
        </w:rPr>
        <w:t>20天：</w:t>
      </w:r>
      <w:r>
        <w:rPr>
          <w:rFonts w:hint="eastAsia" w:ascii="宋体" w:hAnsi="宋体"/>
          <w:color w:val="000000" w:themeColor="text1"/>
          <w:sz w:val="24"/>
          <w:lang w:val="zh-CN"/>
          <w14:textFill>
            <w14:solidFill>
              <w14:schemeClr w14:val="tx1"/>
            </w14:solidFill>
          </w14:textFill>
        </w:rPr>
        <w:t>本工程自</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日开工，于</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日竣工。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0"/>
        <w:jc w:val="left"/>
        <w:textAlignment w:val="auto"/>
        <w:rPr>
          <w:rFonts w:hint="eastAsia" w:ascii="宋体" w:hAnsi="宋体"/>
          <w:color w:val="000000" w:themeColor="text1"/>
          <w:sz w:val="24"/>
          <w:u w:val="singl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１．６　工程质量：</w:t>
      </w:r>
      <w:r>
        <w:rPr>
          <w:rFonts w:hint="eastAsia" w:ascii="宋体" w:hAnsi="宋体"/>
          <w:color w:val="000000" w:themeColor="text1"/>
          <w:sz w:val="24"/>
          <w:u w:val="single"/>
          <w:lang w:val="zh-CN"/>
          <w14:textFill>
            <w14:solidFill>
              <w14:schemeClr w14:val="tx1"/>
            </w14:solidFill>
          </w14:textFill>
        </w:rPr>
        <w:t>工程量清单范围内的全部工程</w:t>
      </w:r>
      <w:r>
        <w:rPr>
          <w:rFonts w:hint="eastAsia" w:ascii="宋体" w:hAnsi="宋体"/>
          <w:color w:val="000000" w:themeColor="text1"/>
          <w:sz w:val="24"/>
          <w:u w:val="single"/>
          <w:lang w:val="en-US" w:eastAsia="zh-CN"/>
          <w14:textFill>
            <w14:solidFill>
              <w14:schemeClr w14:val="tx1"/>
            </w14:solidFill>
          </w14:textFill>
        </w:rPr>
        <w:t>验收合格</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0"/>
        <w:jc w:val="left"/>
        <w:textAlignment w:val="auto"/>
        <w:rPr>
          <w:rFonts w:hint="default" w:eastAsia="宋体"/>
          <w:color w:val="000000" w:themeColor="text1"/>
          <w:u w:val="single"/>
          <w:lang w:val="en-US" w:eastAsia="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１．７</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工程</w:t>
      </w:r>
      <w:r>
        <w:rPr>
          <w:rFonts w:hint="eastAsia" w:ascii="宋体" w:hAnsi="宋体"/>
          <w:color w:val="000000" w:themeColor="text1"/>
          <w:sz w:val="24"/>
          <w:lang w:val="en-US" w:eastAsia="zh-CN"/>
          <w14:textFill>
            <w14:solidFill>
              <w14:schemeClr w14:val="tx1"/>
            </w14:solidFill>
          </w14:textFill>
        </w:rPr>
        <w:t>质保：</w:t>
      </w:r>
      <w:r>
        <w:rPr>
          <w:rFonts w:hint="eastAsia" w:ascii="宋体" w:hAnsi="宋体"/>
          <w:color w:val="000000" w:themeColor="text1"/>
          <w:sz w:val="24"/>
          <w:u w:val="single"/>
          <w:lang w:val="en-US" w:eastAsia="zh-CN"/>
          <w14:textFill>
            <w14:solidFill>
              <w14:schemeClr w14:val="tx1"/>
            </w14:solidFill>
          </w14:textFill>
        </w:rPr>
        <w:t>1年</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１．</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lang w:val="zh-CN"/>
          <w14:textFill>
            <w14:solidFill>
              <w14:schemeClr w14:val="tx1"/>
            </w14:solidFill>
          </w14:textFill>
        </w:rPr>
        <w:t>　合同价款（人民币大写）：</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第二条　甲方工作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２．１　开工前</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天，向乙方提供经确认的施工图纸或作法说明</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２．２　指派</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为甲方驻工地代表，负责合同履行。对工程质量、进度进行监督检查，办理验收、变更、登记手续和其他事宜。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２．３　委托</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监理公司进行工程监理，监理公司任命　          为总监理工程师，其职责在监理合同中应明确，并将合同副本交乙方</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份。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２．４　负责保护好周围建筑物及装修、设备管线、古树名木、绿地等不受损坏，并承担相应费用。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２．５　如确实需要拆改原建筑物结构或设备管线，负责到有关部门办理相应审批手续。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２．６　协调有关部门做好现场保卫、消防、垃圾处理等工作，并承担相应费用。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第三条　乙方工作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３．１　参加甲方组织的施工图纸或作法说明的现场交底，拟定施工方案和进度计划，交甲方审定。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３．２　指派</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为乙方驻工地代表，负责合同履行。按要求组织施工，保质、保量、按期完成施工任务，解决由乙方负责的各项事宜。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３．３　严格执行施工规范、安全操作规程、防火安全规定、环境保护规定。严格按照图纸或作法说明进行施工，做好各项质量检查记录。参加竣工验收，编制工程结算。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３．４　遵守国家或地方政府及有关部门对施工现场管理的规定，妥善保护好施工现场周围建筑物、设备管线、古树名木不受损坏。做好施工现场保卫和垃圾消纳等工作，处理好由于施工带来的扰民问题及与周围单位（住户）的关系。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３．５　施工中未经甲方同意或有关部门批准，不得随意拆改原建筑物结构及各种设备管线。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３．６　工程竣工未移交甲方之前，负责对现场的一切设施和工程成品进行保护。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第四条　关于工期的约定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４．１　甲方要求比合同约定的工期提前竣工时，应征得乙方同意，并支付乙方因赶工采取的措施费用。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４．２　因甲方未按约定完成工作，影响工期，工期顺延。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４．３　因乙方责任，不能按期开工或中途无故停工，影响工期，工期不顺延。</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４．４　因设计变更或非乙方原因造成的停电、停水、停气及不可抗力因素影响，导致停工８小时以上（一周内累计计算），工期相应顺延。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第五条　关于工程质量及验收的约定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５．１　本工程以施工图纸、作法说明、设计变更和《建筑装饰工程施工及验收规范》（ＪＧＪ７３－－９１）、《建筑安装工程质量检验评定统一标准》（ＧＢＪ３００－－８８）等国家制订的施工及验收规范为质量评定验收标准。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５．２　本工程质量应达到国家质量评定合格标准。甲方要求部分或全部工程项目达到优良标准时，应向乙方支付由此增加的费用。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５．３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５．４　由于甲方提供的材料、设备质量不合格而影响工程质量，其返工费用由甲方承担，工期顺延。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５．５　由于乙方原因造成质量事故，其返工费用由乙方承担，工期不顺延。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５．６　工程竣工后，乙方应通知甲方验收，甲方自接到验收通知日内组织验收，并办理验收、移交手续。如甲方在规定时间内未能组织验收，需及时通知乙方，另定验收日期。但甲方应承认竣工日期，并承担乙方的看管费用和相关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第六条　关于工程价款及结算的约定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６．１　双方商定本合同价款采用第</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1）</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（１）固定</w:t>
      </w:r>
      <w:r>
        <w:rPr>
          <w:rFonts w:hint="eastAsia" w:ascii="宋体" w:hAnsi="宋体"/>
          <w:color w:val="000000" w:themeColor="text1"/>
          <w:sz w:val="24"/>
          <w:lang w:val="en-US" w:eastAsia="zh-CN"/>
          <w14:textFill>
            <w14:solidFill>
              <w14:schemeClr w14:val="tx1"/>
            </w14:solidFill>
          </w14:textFill>
        </w:rPr>
        <w:t>综合单价</w:t>
      </w: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（２）固定价格加</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包干风险系数计算。包干风险包括内容。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（３）可调价格：按照国家有关工程计价规定计算造价，并按有关规定进行调整和竣工结算。 </w:t>
      </w:r>
    </w:p>
    <w:p>
      <w:pPr>
        <w:snapToGrid w:val="0"/>
        <w:spacing w:line="312" w:lineRule="auto"/>
        <w:ind w:firstLine="480" w:firstLineChars="200"/>
        <w:rPr>
          <w:rFonts w:hint="eastAsia" w:ascii="宋体" w:hAnsi="宋体"/>
          <w:color w:val="000000" w:themeColor="text1"/>
          <w:sz w:val="24"/>
          <w:lang w:val="zh-CN"/>
          <w14:textFill>
            <w14:solidFill>
              <w14:schemeClr w14:val="tx1"/>
            </w14:solidFill>
          </w14:textFill>
        </w:rPr>
      </w:pPr>
    </w:p>
    <w:p>
      <w:pPr>
        <w:snapToGrid w:val="0"/>
        <w:spacing w:line="312" w:lineRule="auto"/>
        <w:ind w:firstLine="480" w:firstLineChars="200"/>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６．２　本合同生效后，甲方分</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2</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次支付工程款；工程竣工验收后，乙方提出工程结算并将有关资料送交甲方。甲方自接到上述资料审查完毕，未提出异议，视为同意。验收合格并审计结束后付至审定价的</w:t>
      </w:r>
      <w:r>
        <w:rPr>
          <w:rFonts w:hint="eastAsia" w:ascii="宋体" w:hAnsi="宋体"/>
          <w:color w:val="000000" w:themeColor="text1"/>
          <w:sz w:val="24"/>
          <w:lang w:val="en-US" w:eastAsia="zh-CN"/>
          <w14:textFill>
            <w14:solidFill>
              <w14:schemeClr w14:val="tx1"/>
            </w14:solidFill>
          </w14:textFill>
        </w:rPr>
        <w:t>70</w:t>
      </w:r>
      <w:r>
        <w:rPr>
          <w:rFonts w:hint="eastAsia" w:ascii="宋体" w:hAnsi="宋体"/>
          <w:color w:val="000000" w:themeColor="text1"/>
          <w:sz w:val="24"/>
          <w:lang w:val="zh-CN"/>
          <w14:textFill>
            <w14:solidFill>
              <w14:schemeClr w14:val="tx1"/>
            </w14:solidFill>
          </w14:textFill>
        </w:rPr>
        <w:t xml:space="preserve">%，余款一年质保期后付清。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第七条　关于材料供应的约定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７．１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ascii="宋体" w:hAnsi="宋体"/>
          <w:sz w:val="24"/>
          <w:u w:val="single"/>
          <w:lang w:val="zh-CN"/>
        </w:rPr>
        <w:t>　  　</w:t>
      </w:r>
      <w:r>
        <w:rPr>
          <w:rFonts w:hint="eastAsia" w:ascii="宋体" w:hAnsi="宋体"/>
          <w:sz w:val="24"/>
          <w:lang w:val="zh-CN"/>
        </w:rPr>
        <w:t xml:space="preserve">％的保管费。由于乙方保管不当造成损失，由乙方负责赔偿。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７．２　凡由乙方采购的材料、设备，如不符合质量要求或规格有差异，应禁止使用。应禁止使用，对工程造成的损失由乙方负责。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第八条　有关安全生产和防火的约定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８．１　甲方提供的施工图纸或作法说明，应符合《中华人民共和国消防条例》和有关防火设计规范。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８．２　乙方在施工期间应严格遵守《建筑安装工程安全技术规程》、《建筑安装工人安全操作规程》、《中华人民共和国消防条例》和其它相关的法规、规范。</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８．３　由于甲方确认的图纸或作法说明，违反有关安全操作规程、消防条例和防火设计规范，导致发生安全或火灾事故，甲方应承担由此产生的一切经济损失。</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８．４　由于乙方在施工生产过程中违反有关安全操作规程、消防条例，导致发生安全或火灾事故，乙方应承担由此引发的一切经济损失。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第九条　奖励和违约责任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９．１　由于甲方原因导致延期开工或中途停工，甲方应补偿乙方因停工、窝工所造成的损失。每停工或窝工一天，甲方支付乙方</w:t>
      </w:r>
      <w:r>
        <w:rPr>
          <w:rFonts w:hint="eastAsia" w:ascii="宋体" w:hAnsi="宋体"/>
          <w:sz w:val="24"/>
          <w:u w:val="single"/>
          <w:lang w:val="zh-CN"/>
        </w:rPr>
        <w:t xml:space="preserve">　  　   </w:t>
      </w:r>
      <w:r>
        <w:rPr>
          <w:rFonts w:hint="eastAsia" w:ascii="宋体" w:hAnsi="宋体"/>
          <w:sz w:val="24"/>
          <w:lang w:val="zh-CN"/>
        </w:rPr>
        <w:t xml:space="preserve"> 元。甲方不按合同的约定拨付款，每拖期一天，按付款额的</w:t>
      </w:r>
      <w:r>
        <w:rPr>
          <w:rFonts w:hint="eastAsia" w:ascii="宋体" w:hAnsi="宋体"/>
          <w:sz w:val="24"/>
          <w:u w:val="single"/>
          <w:lang w:val="zh-CN"/>
        </w:rPr>
        <w:t>　  　</w:t>
      </w:r>
      <w:r>
        <w:rPr>
          <w:rFonts w:hint="eastAsia" w:ascii="宋体" w:hAnsi="宋体"/>
          <w:sz w:val="24"/>
          <w:lang w:val="zh-CN"/>
        </w:rPr>
        <w:t xml:space="preserve">％支付滞纳金。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９．２　由于乙方原因，逾期竣工，每逾期一天，乙方支付甲方　</w:t>
      </w:r>
      <w:r>
        <w:rPr>
          <w:rFonts w:hint="eastAsia" w:ascii="宋体" w:hAnsi="宋体"/>
          <w:sz w:val="24"/>
          <w:u w:val="single"/>
          <w:lang w:val="zh-CN"/>
        </w:rPr>
        <w:t xml:space="preserve">  　   </w:t>
      </w:r>
      <w:r>
        <w:rPr>
          <w:rFonts w:hint="eastAsia" w:ascii="宋体" w:hAnsi="宋体"/>
          <w:sz w:val="24"/>
          <w:lang w:val="zh-CN"/>
        </w:rPr>
        <w:t xml:space="preserve">元违约金。甲方要求提前竣工，除支付赶工措施费外，每提前一天，甲方支付乙方　  　   元，作为奖励。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９．３　乙方按照甲方要求，全部或部分工程项目达到优良标准时，除按本合同５．２款增加优质价款外，甲方支付乙方</w:t>
      </w:r>
      <w:r>
        <w:rPr>
          <w:rFonts w:hint="eastAsia" w:ascii="宋体" w:hAnsi="宋体"/>
          <w:sz w:val="24"/>
          <w:u w:val="single"/>
          <w:lang w:val="zh-CN"/>
        </w:rPr>
        <w:t xml:space="preserve">　  　    </w:t>
      </w:r>
      <w:r>
        <w:rPr>
          <w:rFonts w:hint="eastAsia" w:ascii="宋体" w:hAnsi="宋体"/>
          <w:sz w:val="24"/>
          <w:lang w:val="zh-CN"/>
        </w:rPr>
        <w:t xml:space="preserve">元，作为奖励。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９．４　乙方应妥善保护甲方提供的设备及现场堆放的家具、陈设和工程成品，如造成损失，应照价赔偿。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９．５　甲方未办理任何手续，擅自同意拆改原有建筑物结构或设备管线，由此发生的损失或事故（包括罚款），由甲方负责并承担损失。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９．６　未经甲方同意，乙方擅自拆改原建筑物结构或设备管线，由此发生的损失或事故（包括罚款），由乙方负责并承担损失。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９．７　未办理验收手续，甲方提前使用或擅自动用，造成损失由甲方负责。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９．８　因一方原因，合同无法继续履行时，应通知对方，办理合同终止协议，并由责任方赔偿对方由此造成的经济损失。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第十条　争议或纠纷处理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１０．１　本合同在履行期间，双方发生争议时，在不影响工程进度的前提下，双方可采取协商解决或请有关部门进行调解。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１０．２　当事人不愿通过协商、调解解决或者协商、调解不成时，本合同在执行中发生的争议双方同意由</w:t>
      </w:r>
      <w:r>
        <w:rPr>
          <w:rFonts w:hint="eastAsia" w:ascii="宋体" w:hAnsi="宋体"/>
          <w:sz w:val="24"/>
          <w:u w:val="single"/>
          <w:lang w:val="zh-CN"/>
        </w:rPr>
        <w:t>　　　</w:t>
      </w:r>
      <w:r>
        <w:rPr>
          <w:rFonts w:hint="eastAsia" w:ascii="宋体" w:hAnsi="宋体"/>
          <w:sz w:val="24"/>
          <w:lang w:val="zh-CN"/>
        </w:rPr>
        <w:t xml:space="preserve">仲裁委员会仲裁（当事人不在本合同约定仲裁机构，事后又没有达成书面仲裁协议的，可向人民法院起诉）。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第十一条　其它约定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第十二条　附则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１２．１　本工程需要进行保修或保险时，应另订协议。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sz w:val="24"/>
          <w:lang w:val="zh-CN"/>
        </w:rPr>
      </w:pPr>
      <w:r>
        <w:rPr>
          <w:rFonts w:hint="eastAsia" w:ascii="宋体" w:hAnsi="宋体"/>
          <w:sz w:val="24"/>
          <w:lang w:val="zh-CN"/>
        </w:rPr>
        <w:t>１２．２　本合同正式两份，双方各执一份。副本</w:t>
      </w:r>
      <w:r>
        <w:rPr>
          <w:rFonts w:hint="eastAsia" w:ascii="宋体" w:hAnsi="宋体"/>
          <w:sz w:val="24"/>
          <w:u w:val="single"/>
          <w:lang w:val="zh-CN"/>
        </w:rPr>
        <w:t>　  　</w:t>
      </w:r>
      <w:r>
        <w:rPr>
          <w:rFonts w:hint="eastAsia" w:ascii="宋体" w:hAnsi="宋体"/>
          <w:sz w:val="24"/>
          <w:lang w:val="zh-CN"/>
        </w:rPr>
        <w:t>份，甲方执</w:t>
      </w:r>
      <w:r>
        <w:rPr>
          <w:rFonts w:hint="eastAsia" w:ascii="宋体" w:hAnsi="宋体"/>
          <w:sz w:val="24"/>
          <w:u w:val="single"/>
          <w:lang w:val="zh-CN"/>
        </w:rPr>
        <w:t>　  　</w:t>
      </w:r>
      <w:r>
        <w:rPr>
          <w:rFonts w:hint="eastAsia" w:ascii="宋体" w:hAnsi="宋体"/>
          <w:sz w:val="24"/>
          <w:lang w:val="zh-CN"/>
        </w:rPr>
        <w:t>份，乙方执</w:t>
      </w:r>
      <w:r>
        <w:rPr>
          <w:rFonts w:hint="eastAsia" w:ascii="宋体" w:hAnsi="宋体"/>
          <w:sz w:val="24"/>
          <w:u w:val="single"/>
          <w:lang w:val="zh-CN"/>
        </w:rPr>
        <w:t>　  　</w:t>
      </w:r>
      <w:r>
        <w:rPr>
          <w:rFonts w:hint="eastAsia" w:ascii="宋体" w:hAnsi="宋体"/>
          <w:sz w:val="24"/>
          <w:lang w:val="zh-CN"/>
        </w:rPr>
        <w:t xml:space="preserve">份。 </w:t>
      </w:r>
    </w:p>
    <w:p>
      <w:pPr>
        <w:snapToGrid w:val="0"/>
        <w:spacing w:line="312" w:lineRule="auto"/>
        <w:ind w:firstLine="480" w:firstLineChars="200"/>
        <w:rPr>
          <w:rFonts w:hint="eastAsia" w:ascii="宋体" w:hAnsi="宋体"/>
          <w:sz w:val="24"/>
          <w:lang w:val="zh-CN"/>
        </w:rPr>
      </w:pPr>
    </w:p>
    <w:p>
      <w:pPr>
        <w:snapToGrid w:val="0"/>
        <w:spacing w:line="312" w:lineRule="auto"/>
        <w:rPr>
          <w:rFonts w:hint="eastAsia" w:ascii="宋体" w:hAnsi="宋体"/>
          <w:sz w:val="24"/>
          <w:lang w:val="zh-CN"/>
        </w:rPr>
      </w:pPr>
      <w:r>
        <w:rPr>
          <w:rFonts w:hint="eastAsia" w:ascii="宋体" w:hAnsi="宋体"/>
          <w:sz w:val="24"/>
          <w:lang w:val="zh-CN"/>
        </w:rPr>
        <w:t xml:space="preserve">１２．３　本合同履行完成后自动终止。 </w:t>
      </w:r>
    </w:p>
    <w:p>
      <w:pPr>
        <w:snapToGrid w:val="0"/>
        <w:spacing w:line="312" w:lineRule="auto"/>
        <w:rPr>
          <w:rFonts w:hint="eastAsia" w:ascii="宋体" w:hAnsi="宋体"/>
          <w:sz w:val="24"/>
          <w:lang w:val="zh-CN"/>
        </w:rPr>
      </w:pPr>
      <w:r>
        <w:rPr>
          <w:rFonts w:hint="eastAsia" w:ascii="宋体" w:hAnsi="宋体"/>
          <w:sz w:val="24"/>
          <w:lang w:val="zh-CN"/>
        </w:rPr>
        <w:t xml:space="preserve">１２．４　附件 </w:t>
      </w:r>
    </w:p>
    <w:p>
      <w:pPr>
        <w:snapToGrid w:val="0"/>
        <w:spacing w:line="312" w:lineRule="auto"/>
        <w:rPr>
          <w:rFonts w:hint="eastAsia" w:ascii="宋体" w:hAnsi="宋体"/>
          <w:sz w:val="24"/>
          <w:lang w:val="zh-CN"/>
        </w:rPr>
      </w:pPr>
      <w:r>
        <w:rPr>
          <w:rFonts w:hint="eastAsia" w:ascii="宋体" w:hAnsi="宋体"/>
          <w:sz w:val="24"/>
          <w:lang w:val="zh-CN"/>
        </w:rPr>
        <w:t xml:space="preserve">（１）施工图纸或作法说明 </w:t>
      </w:r>
    </w:p>
    <w:p>
      <w:pPr>
        <w:snapToGrid w:val="0"/>
        <w:spacing w:line="312" w:lineRule="auto"/>
        <w:rPr>
          <w:rFonts w:hint="eastAsia" w:ascii="宋体" w:hAnsi="宋体"/>
          <w:sz w:val="24"/>
          <w:lang w:val="zh-CN"/>
        </w:rPr>
      </w:pPr>
      <w:r>
        <w:rPr>
          <w:rFonts w:hint="eastAsia" w:ascii="宋体" w:hAnsi="宋体"/>
          <w:sz w:val="24"/>
          <w:lang w:val="zh-CN"/>
        </w:rPr>
        <w:t xml:space="preserve">（２）工程项目一览表 </w:t>
      </w:r>
    </w:p>
    <w:p>
      <w:pPr>
        <w:snapToGrid w:val="0"/>
        <w:spacing w:line="312" w:lineRule="auto"/>
        <w:rPr>
          <w:rFonts w:hint="eastAsia" w:ascii="宋体" w:hAnsi="宋体"/>
          <w:sz w:val="24"/>
          <w:lang w:val="zh-CN"/>
        </w:rPr>
      </w:pPr>
      <w:r>
        <w:rPr>
          <w:rFonts w:hint="eastAsia" w:ascii="宋体" w:hAnsi="宋体"/>
          <w:sz w:val="24"/>
          <w:lang w:val="zh-CN"/>
        </w:rPr>
        <w:t xml:space="preserve">（３）工程预算书 </w:t>
      </w:r>
    </w:p>
    <w:p>
      <w:pPr>
        <w:snapToGrid w:val="0"/>
        <w:spacing w:line="312" w:lineRule="auto"/>
        <w:rPr>
          <w:rFonts w:hint="eastAsia" w:ascii="宋体" w:hAnsi="宋体"/>
          <w:sz w:val="24"/>
          <w:lang w:val="zh-CN"/>
        </w:rPr>
      </w:pPr>
      <w:r>
        <w:rPr>
          <w:rFonts w:hint="eastAsia" w:ascii="宋体" w:hAnsi="宋体"/>
          <w:sz w:val="24"/>
          <w:lang w:val="zh-CN"/>
        </w:rPr>
        <w:t xml:space="preserve">（４）甲方提供货物清单 </w:t>
      </w:r>
    </w:p>
    <w:p>
      <w:pPr>
        <w:snapToGrid w:val="0"/>
        <w:spacing w:line="312" w:lineRule="auto"/>
        <w:rPr>
          <w:rFonts w:hint="eastAsia" w:ascii="宋体" w:hAnsi="宋体"/>
          <w:sz w:val="24"/>
          <w:lang w:val="zh-CN"/>
        </w:rPr>
      </w:pPr>
      <w:r>
        <w:rPr>
          <w:rFonts w:hint="eastAsia" w:ascii="宋体" w:hAnsi="宋体"/>
          <w:sz w:val="24"/>
          <w:lang w:val="zh-CN"/>
        </w:rPr>
        <w:t xml:space="preserve">（５）会议纪要 </w:t>
      </w:r>
    </w:p>
    <w:p>
      <w:pPr>
        <w:snapToGrid w:val="0"/>
        <w:spacing w:line="312" w:lineRule="auto"/>
        <w:rPr>
          <w:rFonts w:hint="eastAsia" w:ascii="宋体" w:hAnsi="宋体"/>
          <w:sz w:val="24"/>
          <w:lang w:val="zh-CN"/>
        </w:rPr>
      </w:pPr>
      <w:r>
        <w:rPr>
          <w:rFonts w:hint="eastAsia" w:ascii="宋体" w:hAnsi="宋体"/>
          <w:sz w:val="24"/>
          <w:lang w:val="zh-CN"/>
        </w:rPr>
        <w:t xml:space="preserve">（６）设计变更 </w:t>
      </w:r>
    </w:p>
    <w:p>
      <w:pPr>
        <w:snapToGrid w:val="0"/>
        <w:spacing w:line="312" w:lineRule="auto"/>
        <w:rPr>
          <w:rFonts w:hint="eastAsia" w:ascii="宋体" w:hAnsi="宋体"/>
          <w:sz w:val="24"/>
          <w:lang w:val="zh-CN"/>
        </w:rPr>
      </w:pPr>
      <w:r>
        <w:rPr>
          <w:rFonts w:hint="eastAsia" w:ascii="宋体" w:hAnsi="宋体"/>
          <w:sz w:val="24"/>
          <w:lang w:val="zh-CN"/>
        </w:rPr>
        <w:t xml:space="preserve">（７）其他 </w:t>
      </w:r>
    </w:p>
    <w:p>
      <w:pPr>
        <w:pStyle w:val="2"/>
        <w:rPr>
          <w:rFonts w:hint="eastAsia"/>
          <w:lang w:val="zh-CN"/>
        </w:rPr>
      </w:pPr>
    </w:p>
    <w:p>
      <w:pPr>
        <w:snapToGrid w:val="0"/>
        <w:spacing w:line="312" w:lineRule="auto"/>
        <w:ind w:firstLine="480" w:firstLineChars="200"/>
        <w:rPr>
          <w:rFonts w:hint="eastAsia" w:ascii="宋体" w:hAnsi="宋体"/>
          <w:sz w:val="24"/>
          <w:u w:val="single"/>
          <w:lang w:val="zh-CN"/>
        </w:rPr>
      </w:pPr>
      <w:r>
        <w:rPr>
          <w:rFonts w:hint="eastAsia" w:ascii="宋体" w:hAnsi="宋体"/>
          <w:sz w:val="24"/>
          <w:lang w:val="zh-CN"/>
        </w:rPr>
        <w:t>甲方（盖章）：</w:t>
      </w:r>
      <w:r>
        <w:rPr>
          <w:rFonts w:hint="eastAsia" w:ascii="宋体" w:hAnsi="宋体"/>
          <w:sz w:val="24"/>
          <w:u w:val="single"/>
          <w:lang w:val="zh-CN"/>
        </w:rPr>
        <w:t>　　　　　　　　　　　</w:t>
      </w:r>
      <w:r>
        <w:rPr>
          <w:rFonts w:hint="eastAsia" w:ascii="宋体" w:hAnsi="宋体"/>
          <w:sz w:val="24"/>
          <w:lang w:val="zh-CN"/>
        </w:rPr>
        <w:t>　乙方（盖章）：</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法定代表人：</w:t>
      </w:r>
      <w:r>
        <w:rPr>
          <w:rFonts w:hint="eastAsia" w:ascii="宋体" w:hAnsi="宋体"/>
          <w:sz w:val="24"/>
          <w:u w:val="single"/>
          <w:lang w:val="zh-CN"/>
        </w:rPr>
        <w:t>　　　　　　　　  　　　</w:t>
      </w:r>
      <w:r>
        <w:rPr>
          <w:rFonts w:hint="eastAsia" w:ascii="宋体" w:hAnsi="宋体"/>
          <w:sz w:val="24"/>
          <w:lang w:val="zh-CN"/>
        </w:rPr>
        <w:t>　法定代表人：</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代理人：</w:t>
      </w:r>
      <w:r>
        <w:rPr>
          <w:rFonts w:hint="eastAsia" w:ascii="宋体" w:hAnsi="宋体"/>
          <w:sz w:val="24"/>
          <w:u w:val="single"/>
          <w:lang w:val="zh-CN"/>
        </w:rPr>
        <w:t>　　　　　　　　      　　　</w:t>
      </w:r>
      <w:r>
        <w:rPr>
          <w:rFonts w:hint="eastAsia" w:ascii="宋体" w:hAnsi="宋体"/>
          <w:sz w:val="24"/>
          <w:lang w:val="zh-CN"/>
        </w:rPr>
        <w:t>　代表人：</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单位地址：</w:t>
      </w:r>
      <w:r>
        <w:rPr>
          <w:rFonts w:hint="eastAsia" w:ascii="宋体" w:hAnsi="宋体"/>
          <w:sz w:val="24"/>
          <w:u w:val="single"/>
          <w:lang w:val="zh-CN"/>
        </w:rPr>
        <w:t>　　　　　　　　      　　</w:t>
      </w:r>
      <w:r>
        <w:rPr>
          <w:rFonts w:hint="eastAsia" w:ascii="宋体" w:hAnsi="宋体"/>
          <w:sz w:val="24"/>
          <w:lang w:val="zh-CN"/>
        </w:rPr>
        <w:t>　单位地址：</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电话：</w:t>
      </w:r>
      <w:r>
        <w:rPr>
          <w:rFonts w:hint="eastAsia" w:ascii="宋体" w:hAnsi="宋体"/>
          <w:sz w:val="24"/>
          <w:u w:val="single"/>
          <w:lang w:val="zh-CN"/>
        </w:rPr>
        <w:t>　　　　　　　　      　　　　</w:t>
      </w:r>
      <w:r>
        <w:rPr>
          <w:rFonts w:hint="eastAsia" w:ascii="宋体" w:hAnsi="宋体"/>
          <w:sz w:val="24"/>
          <w:lang w:val="zh-CN"/>
        </w:rPr>
        <w:t>　电话：</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传真：</w:t>
      </w:r>
      <w:r>
        <w:rPr>
          <w:rFonts w:hint="eastAsia" w:ascii="宋体" w:hAnsi="宋体"/>
          <w:sz w:val="24"/>
          <w:u w:val="single"/>
          <w:lang w:val="zh-CN"/>
        </w:rPr>
        <w:t>　　　　　　　　      　　　　</w:t>
      </w:r>
      <w:r>
        <w:rPr>
          <w:rFonts w:hint="eastAsia" w:ascii="宋体" w:hAnsi="宋体"/>
          <w:sz w:val="24"/>
          <w:lang w:val="zh-CN"/>
        </w:rPr>
        <w:t>　传真：</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邮码：</w:t>
      </w:r>
      <w:r>
        <w:rPr>
          <w:rFonts w:hint="eastAsia" w:ascii="宋体" w:hAnsi="宋体"/>
          <w:sz w:val="24"/>
          <w:u w:val="single"/>
          <w:lang w:val="zh-CN"/>
        </w:rPr>
        <w:t>　　　　　　　　      　　　　</w:t>
      </w:r>
      <w:r>
        <w:rPr>
          <w:rFonts w:hint="eastAsia" w:ascii="宋体" w:hAnsi="宋体"/>
          <w:sz w:val="24"/>
          <w:lang w:val="zh-CN"/>
        </w:rPr>
        <w:t>　邮码：</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开户银行：</w:t>
      </w:r>
      <w:r>
        <w:rPr>
          <w:rFonts w:hint="eastAsia" w:ascii="宋体" w:hAnsi="宋体"/>
          <w:sz w:val="24"/>
          <w:u w:val="single"/>
          <w:lang w:val="zh-CN"/>
        </w:rPr>
        <w:t>　　　　　　　　      　　</w:t>
      </w:r>
      <w:r>
        <w:rPr>
          <w:rFonts w:hint="eastAsia" w:ascii="宋体" w:hAnsi="宋体"/>
          <w:sz w:val="24"/>
          <w:lang w:val="zh-CN"/>
        </w:rPr>
        <w:t>　开户银行：</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户名：</w:t>
      </w:r>
      <w:r>
        <w:rPr>
          <w:rFonts w:hint="eastAsia" w:ascii="宋体" w:hAnsi="宋体"/>
          <w:sz w:val="24"/>
          <w:u w:val="single"/>
          <w:lang w:val="zh-CN"/>
        </w:rPr>
        <w:t>　　　　　　　　      　　　　</w:t>
      </w:r>
      <w:r>
        <w:rPr>
          <w:rFonts w:hint="eastAsia" w:ascii="宋体" w:hAnsi="宋体"/>
          <w:sz w:val="24"/>
          <w:lang w:val="zh-CN"/>
        </w:rPr>
        <w:t>　户名：</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帐号：</w:t>
      </w:r>
      <w:r>
        <w:rPr>
          <w:rFonts w:hint="eastAsia" w:ascii="宋体" w:hAnsi="宋体"/>
          <w:sz w:val="24"/>
          <w:u w:val="single"/>
          <w:lang w:val="zh-CN"/>
        </w:rPr>
        <w:t>　　　　　　　　      　　　　</w:t>
      </w:r>
      <w:r>
        <w:rPr>
          <w:rFonts w:hint="eastAsia" w:ascii="宋体" w:hAnsi="宋体"/>
          <w:sz w:val="24"/>
          <w:lang w:val="zh-CN"/>
        </w:rPr>
        <w:t>　帐号：</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年　　月　　日　　　　　　　</w:t>
      </w:r>
      <w:r>
        <w:rPr>
          <w:rFonts w:hint="eastAsia" w:ascii="宋体" w:hAnsi="宋体"/>
          <w:sz w:val="24"/>
          <w:lang w:val="en-US" w:eastAsia="zh-CN"/>
        </w:rPr>
        <w:t xml:space="preserve">          </w:t>
      </w:r>
      <w:r>
        <w:rPr>
          <w:rFonts w:hint="eastAsia" w:ascii="宋体" w:hAnsi="宋体"/>
          <w:sz w:val="24"/>
          <w:lang w:val="zh-CN"/>
        </w:rPr>
        <w:t>年　　月　　日</w:t>
      </w:r>
    </w:p>
    <w:bookmarkEnd w:id="118"/>
    <w:p>
      <w:pPr>
        <w:snapToGrid w:val="0"/>
        <w:spacing w:line="312" w:lineRule="auto"/>
        <w:ind w:firstLine="480" w:firstLineChars="200"/>
        <w:jc w:val="both"/>
        <w:rPr>
          <w:rFonts w:hint="eastAsia" w:ascii="宋体" w:hAnsi="宋体"/>
          <w:sz w:val="24"/>
          <w:lang w:val="zh-CN"/>
        </w:rPr>
      </w:pPr>
    </w:p>
    <w:sectPr>
      <w:headerReference r:id="rId12" w:type="first"/>
      <w:headerReference r:id="rId11" w:type="default"/>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38885" cy="317500"/>
              <wp:effectExtent l="0" t="0" r="12065" b="0"/>
              <wp:wrapNone/>
              <wp:docPr id="8" name="文本框 8"/>
              <wp:cNvGraphicFramePr/>
              <a:graphic xmlns:a="http://schemas.openxmlformats.org/drawingml/2006/main">
                <a:graphicData uri="http://schemas.microsoft.com/office/word/2010/wordprocessingShape">
                  <wps:wsp>
                    <wps:cNvSpPr txBox="1"/>
                    <wps:spPr>
                      <a:xfrm>
                        <a:off x="0" y="0"/>
                        <a:ext cx="1238885" cy="317500"/>
                      </a:xfrm>
                      <a:prstGeom prst="rect">
                        <a:avLst/>
                      </a:prstGeom>
                      <a:noFill/>
                      <a:ln w="6350">
                        <a:noFill/>
                      </a:ln>
                    </wps:spPr>
                    <wps:txbx>
                      <w:txbxContent>
                        <w:p>
                          <w:pPr>
                            <w:pStyle w:val="19"/>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97.55pt;mso-position-horizontal:center;mso-position-horizontal-relative:margin;mso-wrap-style:none;z-index:251662336;mso-width-relative:page;mso-height-relative:page;" filled="f" stroked="f" coordsize="21600,21600" o:gfxdata="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iHnANMAAAAEAQAADwAAAAAAAAABACAAAAAiAAAAZHJzL2Rvd25yZXYueG1sUEsBAhQA&#10;FAAAAAgAh07iQJB/nA4wAgAAVAQAAA4AAAAAAAAAAQAgAAAAIgEAAGRycy9lMm9Eb2MueG1sUEsF&#10;BgAAAAAGAAYAWQEAAMQFAAAAAA==&#10;">
              <v:fill on="f" focussize="0,0"/>
              <v:stroke on="f" weight="0.5pt"/>
              <v:imagedata o:title=""/>
              <o:lock v:ext="edit" aspectratio="f"/>
              <v:textbox inset="0mm,0mm,0mm,0mm" style="mso-fit-shape-to-text:t;">
                <w:txbxContent>
                  <w:p>
                    <w:pPr>
                      <w:pStyle w:val="19"/>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v:textbox>
            </v:shape>
          </w:pict>
        </mc:Fallback>
      </mc:AlternateContent>
    </w:r>
  </w:p>
  <w:p>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74725" cy="147955"/>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txbx>
                      <w:txbxContent>
                        <w:p>
                          <w:pPr>
                            <w:pStyle w:val="1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438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WusPjSAAAABAEAAA8AAAAAAAAAAQAgAAAAIgAAAGRycy9kb3ducmV2LnhtbFBLAQIU&#10;ABQAAAAIAIdO4kBvzMrmMgIAAFMEAAAOAAAAAAAAAAEAIAAAACEBAABkcnMvZTJvRG9jLnhtbFBL&#10;BQYAAAAABgAGAFkBAADF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sdt>
      <w:sdtPr>
        <w:id w:val="626134785"/>
      </w:sdtPr>
      <w:sdtContent/>
    </w:sdt>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78635" cy="317500"/>
              <wp:effectExtent l="0" t="0" r="5715" b="0"/>
              <wp:wrapNone/>
              <wp:docPr id="7" name="文本框 7"/>
              <wp:cNvGraphicFramePr/>
              <a:graphic xmlns:a="http://schemas.openxmlformats.org/drawingml/2006/main">
                <a:graphicData uri="http://schemas.microsoft.com/office/word/2010/wordprocessingShape">
                  <wps:wsp>
                    <wps:cNvSpPr txBox="1"/>
                    <wps:spPr>
                      <a:xfrm>
                        <a:off x="0" y="0"/>
                        <a:ext cx="1778635" cy="317500"/>
                      </a:xfrm>
                      <a:prstGeom prst="rect">
                        <a:avLst/>
                      </a:prstGeom>
                      <a:noFill/>
                      <a:ln w="6350">
                        <a:noFill/>
                      </a:ln>
                    </wps:spPr>
                    <wps:txbx>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140.05pt;mso-position-horizontal:center;mso-position-horizontal-relative:margin;mso-wrap-style:none;z-index:251661312;mso-width-relative:page;mso-height-relative:page;" filled="f" stroked="f" coordsize="21600,21600" o:gfxdata="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9QjINIAAAAEAQAADwAAAAAAAAABACAAAAAiAAAAZHJzL2Rvd25yZXYueG1sUEsBAhQA&#10;FAAAAAgAh07iQNMGIyQxAgAAVAQAAA4AAAAAAAAAAQAgAAAAIQEAAGRycy9lMm9Eb2MueG1sUEsF&#10;BgAAAAAGAAYAWQEAAMQ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1E5BF"/>
    <w:multiLevelType w:val="singleLevel"/>
    <w:tmpl w:val="9CA1E5BF"/>
    <w:lvl w:ilvl="0" w:tentative="0">
      <w:start w:val="1"/>
      <w:numFmt w:val="decimal"/>
      <w:suff w:val="nothing"/>
      <w:lvlText w:val="%1、"/>
      <w:lvlJc w:val="left"/>
    </w:lvl>
  </w:abstractNum>
  <w:abstractNum w:abstractNumId="1">
    <w:nsid w:val="C9437B2F"/>
    <w:multiLevelType w:val="singleLevel"/>
    <w:tmpl w:val="C9437B2F"/>
    <w:lvl w:ilvl="0" w:tentative="0">
      <w:start w:val="7"/>
      <w:numFmt w:val="chineseCounting"/>
      <w:suff w:val="nothing"/>
      <w:lvlText w:val="%1、"/>
      <w:lvlJc w:val="left"/>
      <w:rPr>
        <w:rFonts w:hint="eastAsia"/>
      </w:rPr>
    </w:lvl>
  </w:abstractNum>
  <w:abstractNum w:abstractNumId="2">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3F5F058D"/>
    <w:multiLevelType w:val="singleLevel"/>
    <w:tmpl w:val="3F5F058D"/>
    <w:lvl w:ilvl="0" w:tentative="0">
      <w:start w:val="5"/>
      <w:numFmt w:val="decimal"/>
      <w:suff w:val="nothing"/>
      <w:lvlText w:val="%1、"/>
      <w:lvlJc w:val="left"/>
    </w:lvl>
  </w:abstractNum>
  <w:abstractNum w:abstractNumId="4">
    <w:nsid w:val="571EC165"/>
    <w:multiLevelType w:val="singleLevel"/>
    <w:tmpl w:val="571EC165"/>
    <w:lvl w:ilvl="0" w:tentative="0">
      <w:start w:val="3"/>
      <w:numFmt w:val="chineseCounting"/>
      <w:suff w:val="nothing"/>
      <w:lvlText w:val="%1、"/>
      <w:lvlJc w:val="left"/>
    </w:lvl>
  </w:abstractNum>
  <w:abstractNum w:abstractNumId="5">
    <w:nsid w:val="6FE63C61"/>
    <w:multiLevelType w:val="singleLevel"/>
    <w:tmpl w:val="6FE63C61"/>
    <w:lvl w:ilvl="0" w:tentative="0">
      <w:start w:val="1"/>
      <w:numFmt w:val="chineseCounting"/>
      <w:suff w:val="nothing"/>
      <w:lvlText w:val="%1、"/>
      <w:lvlJc w:val="left"/>
      <w:rPr>
        <w:rFonts w:hint="eastAsia"/>
      </w:rPr>
    </w:lvl>
  </w:abstractNum>
  <w:abstractNum w:abstractNumId="6">
    <w:nsid w:val="774173D9"/>
    <w:multiLevelType w:val="singleLevel"/>
    <w:tmpl w:val="774173D9"/>
    <w:lvl w:ilvl="0" w:tentative="0">
      <w:start w:val="1"/>
      <w:numFmt w:val="decimal"/>
      <w:suff w:val="nothing"/>
      <w:lvlText w:val="%1、"/>
      <w:lvlJc w:val="left"/>
    </w:lvl>
  </w:abstractNum>
  <w:abstractNum w:abstractNumId="7">
    <w:nsid w:val="7D904A97"/>
    <w:multiLevelType w:val="singleLevel"/>
    <w:tmpl w:val="7D904A97"/>
    <w:lvl w:ilvl="0" w:tentative="0">
      <w:start w:val="1"/>
      <w:numFmt w:val="decimal"/>
      <w:lvlText w:val="%1."/>
      <w:lvlJc w:val="left"/>
      <w:pPr>
        <w:tabs>
          <w:tab w:val="left" w:pos="312"/>
        </w:tabs>
      </w:pPr>
    </w:lvl>
  </w:abstractNum>
  <w:num w:numId="1">
    <w:abstractNumId w:val="5"/>
  </w:num>
  <w:num w:numId="2">
    <w:abstractNumId w:val="7"/>
  </w:num>
  <w:num w:numId="3">
    <w:abstractNumId w:val="1"/>
  </w:num>
  <w:num w:numId="4">
    <w:abstractNumId w:val="4"/>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11503357"/>
    <w:rsid w:val="00007F66"/>
    <w:rsid w:val="00011D34"/>
    <w:rsid w:val="00016741"/>
    <w:rsid w:val="00020D63"/>
    <w:rsid w:val="000452F5"/>
    <w:rsid w:val="00056B42"/>
    <w:rsid w:val="00075841"/>
    <w:rsid w:val="00097A8C"/>
    <w:rsid w:val="000A7C85"/>
    <w:rsid w:val="000C1A56"/>
    <w:rsid w:val="000E5E42"/>
    <w:rsid w:val="000E7B1F"/>
    <w:rsid w:val="000F726B"/>
    <w:rsid w:val="00100AB3"/>
    <w:rsid w:val="00100D9B"/>
    <w:rsid w:val="00100EEF"/>
    <w:rsid w:val="00105146"/>
    <w:rsid w:val="00121792"/>
    <w:rsid w:val="00122DB9"/>
    <w:rsid w:val="0013056A"/>
    <w:rsid w:val="00144A09"/>
    <w:rsid w:val="00165A38"/>
    <w:rsid w:val="0017013D"/>
    <w:rsid w:val="00174C0B"/>
    <w:rsid w:val="001806EE"/>
    <w:rsid w:val="001843FA"/>
    <w:rsid w:val="001B0107"/>
    <w:rsid w:val="001D2119"/>
    <w:rsid w:val="001D7603"/>
    <w:rsid w:val="001E4953"/>
    <w:rsid w:val="00207BD5"/>
    <w:rsid w:val="00270494"/>
    <w:rsid w:val="0028442B"/>
    <w:rsid w:val="00287E6C"/>
    <w:rsid w:val="0029114F"/>
    <w:rsid w:val="00295E8B"/>
    <w:rsid w:val="00296702"/>
    <w:rsid w:val="002D16EE"/>
    <w:rsid w:val="00302BD0"/>
    <w:rsid w:val="00306838"/>
    <w:rsid w:val="00347072"/>
    <w:rsid w:val="00365944"/>
    <w:rsid w:val="00371618"/>
    <w:rsid w:val="003739BE"/>
    <w:rsid w:val="0037403D"/>
    <w:rsid w:val="003774FC"/>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810B5"/>
    <w:rsid w:val="00490F17"/>
    <w:rsid w:val="004E41B8"/>
    <w:rsid w:val="004F213F"/>
    <w:rsid w:val="005053D3"/>
    <w:rsid w:val="00511615"/>
    <w:rsid w:val="00512FEE"/>
    <w:rsid w:val="00550526"/>
    <w:rsid w:val="0056346B"/>
    <w:rsid w:val="00580695"/>
    <w:rsid w:val="005952B3"/>
    <w:rsid w:val="005B4388"/>
    <w:rsid w:val="00610852"/>
    <w:rsid w:val="00613F0F"/>
    <w:rsid w:val="006317FE"/>
    <w:rsid w:val="00655364"/>
    <w:rsid w:val="00694B8F"/>
    <w:rsid w:val="006A10E7"/>
    <w:rsid w:val="006B7057"/>
    <w:rsid w:val="006D0711"/>
    <w:rsid w:val="006D1BCC"/>
    <w:rsid w:val="00727EE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0830"/>
    <w:rsid w:val="00842EB0"/>
    <w:rsid w:val="00843E38"/>
    <w:rsid w:val="00851025"/>
    <w:rsid w:val="00872897"/>
    <w:rsid w:val="00880437"/>
    <w:rsid w:val="008A27F2"/>
    <w:rsid w:val="008A4AEE"/>
    <w:rsid w:val="008C7E01"/>
    <w:rsid w:val="008D1117"/>
    <w:rsid w:val="008E4172"/>
    <w:rsid w:val="00905039"/>
    <w:rsid w:val="00925B51"/>
    <w:rsid w:val="00933560"/>
    <w:rsid w:val="009500AC"/>
    <w:rsid w:val="0095087F"/>
    <w:rsid w:val="00955F59"/>
    <w:rsid w:val="00960A8D"/>
    <w:rsid w:val="0096145A"/>
    <w:rsid w:val="00982F02"/>
    <w:rsid w:val="009931B0"/>
    <w:rsid w:val="009B11C8"/>
    <w:rsid w:val="009D5B95"/>
    <w:rsid w:val="009D7483"/>
    <w:rsid w:val="00A02DCD"/>
    <w:rsid w:val="00A04BFC"/>
    <w:rsid w:val="00A527AD"/>
    <w:rsid w:val="00A612E9"/>
    <w:rsid w:val="00A65BCF"/>
    <w:rsid w:val="00A72035"/>
    <w:rsid w:val="00A759CC"/>
    <w:rsid w:val="00A81FFE"/>
    <w:rsid w:val="00A90783"/>
    <w:rsid w:val="00AA3463"/>
    <w:rsid w:val="00AA3909"/>
    <w:rsid w:val="00AB29CF"/>
    <w:rsid w:val="00AC382B"/>
    <w:rsid w:val="00AE79CC"/>
    <w:rsid w:val="00AF1F24"/>
    <w:rsid w:val="00AF351D"/>
    <w:rsid w:val="00B010B9"/>
    <w:rsid w:val="00B04B82"/>
    <w:rsid w:val="00B21917"/>
    <w:rsid w:val="00B36752"/>
    <w:rsid w:val="00B56768"/>
    <w:rsid w:val="00B62D1C"/>
    <w:rsid w:val="00B6488E"/>
    <w:rsid w:val="00B7542D"/>
    <w:rsid w:val="00B94A24"/>
    <w:rsid w:val="00BB2E56"/>
    <w:rsid w:val="00BC3BC4"/>
    <w:rsid w:val="00BE4EBB"/>
    <w:rsid w:val="00BF4984"/>
    <w:rsid w:val="00C21A5D"/>
    <w:rsid w:val="00C67ACE"/>
    <w:rsid w:val="00CA0C68"/>
    <w:rsid w:val="00CA4B54"/>
    <w:rsid w:val="00CB625E"/>
    <w:rsid w:val="00CD2941"/>
    <w:rsid w:val="00CD561C"/>
    <w:rsid w:val="00CF19B6"/>
    <w:rsid w:val="00D1477D"/>
    <w:rsid w:val="00D248F3"/>
    <w:rsid w:val="00D30128"/>
    <w:rsid w:val="00D33A40"/>
    <w:rsid w:val="00D365A2"/>
    <w:rsid w:val="00D84226"/>
    <w:rsid w:val="00D8798D"/>
    <w:rsid w:val="00DA4283"/>
    <w:rsid w:val="00DB341F"/>
    <w:rsid w:val="00DD162A"/>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10B3AD3"/>
    <w:rsid w:val="0110434D"/>
    <w:rsid w:val="027520D7"/>
    <w:rsid w:val="02B0310F"/>
    <w:rsid w:val="039A5559"/>
    <w:rsid w:val="03EA5256"/>
    <w:rsid w:val="05B0498B"/>
    <w:rsid w:val="05DD4FC0"/>
    <w:rsid w:val="05E25354"/>
    <w:rsid w:val="067502B5"/>
    <w:rsid w:val="071F0864"/>
    <w:rsid w:val="074A432C"/>
    <w:rsid w:val="082B0376"/>
    <w:rsid w:val="08830129"/>
    <w:rsid w:val="09902AFD"/>
    <w:rsid w:val="0A40746F"/>
    <w:rsid w:val="0B3C2EE9"/>
    <w:rsid w:val="0B3F57A4"/>
    <w:rsid w:val="0BD11CEC"/>
    <w:rsid w:val="0C155EE4"/>
    <w:rsid w:val="0C1F75DB"/>
    <w:rsid w:val="0C9E71DA"/>
    <w:rsid w:val="0CFD6A1D"/>
    <w:rsid w:val="0F482AC4"/>
    <w:rsid w:val="0FF30ADF"/>
    <w:rsid w:val="10597333"/>
    <w:rsid w:val="11503357"/>
    <w:rsid w:val="117637B1"/>
    <w:rsid w:val="118A27D9"/>
    <w:rsid w:val="11CD36ED"/>
    <w:rsid w:val="11DA4164"/>
    <w:rsid w:val="1214479B"/>
    <w:rsid w:val="128E708D"/>
    <w:rsid w:val="13623DBA"/>
    <w:rsid w:val="136917E4"/>
    <w:rsid w:val="140D5A22"/>
    <w:rsid w:val="14237A43"/>
    <w:rsid w:val="14EB7FD7"/>
    <w:rsid w:val="15080B89"/>
    <w:rsid w:val="15127C5A"/>
    <w:rsid w:val="157A72BA"/>
    <w:rsid w:val="158D5ED0"/>
    <w:rsid w:val="15CC28BE"/>
    <w:rsid w:val="160B0931"/>
    <w:rsid w:val="16135A37"/>
    <w:rsid w:val="164E20A4"/>
    <w:rsid w:val="1731694B"/>
    <w:rsid w:val="17F307CB"/>
    <w:rsid w:val="188A04FE"/>
    <w:rsid w:val="18C13B17"/>
    <w:rsid w:val="19C157C2"/>
    <w:rsid w:val="1A825CDF"/>
    <w:rsid w:val="1B4509B0"/>
    <w:rsid w:val="1C220723"/>
    <w:rsid w:val="1C874A89"/>
    <w:rsid w:val="1D061199"/>
    <w:rsid w:val="1D86171E"/>
    <w:rsid w:val="1DE657E0"/>
    <w:rsid w:val="1DFA0837"/>
    <w:rsid w:val="1F7D0094"/>
    <w:rsid w:val="1F9F033C"/>
    <w:rsid w:val="1FE3578D"/>
    <w:rsid w:val="20452C91"/>
    <w:rsid w:val="20E64474"/>
    <w:rsid w:val="211C739C"/>
    <w:rsid w:val="21C77D94"/>
    <w:rsid w:val="23573C6C"/>
    <w:rsid w:val="235800A5"/>
    <w:rsid w:val="251315B0"/>
    <w:rsid w:val="267C13D7"/>
    <w:rsid w:val="26DF720D"/>
    <w:rsid w:val="274C62F5"/>
    <w:rsid w:val="27554102"/>
    <w:rsid w:val="28650137"/>
    <w:rsid w:val="294A7466"/>
    <w:rsid w:val="29C81659"/>
    <w:rsid w:val="2A050A91"/>
    <w:rsid w:val="2A081E72"/>
    <w:rsid w:val="2A2953D2"/>
    <w:rsid w:val="2AD86423"/>
    <w:rsid w:val="2B2F1D5F"/>
    <w:rsid w:val="2B7B5E0E"/>
    <w:rsid w:val="2CCF677F"/>
    <w:rsid w:val="2D7E77E3"/>
    <w:rsid w:val="2E382459"/>
    <w:rsid w:val="2E6013B9"/>
    <w:rsid w:val="2EF258AE"/>
    <w:rsid w:val="2FA8276E"/>
    <w:rsid w:val="2FA91EBE"/>
    <w:rsid w:val="306A5E60"/>
    <w:rsid w:val="311C4778"/>
    <w:rsid w:val="316B62D0"/>
    <w:rsid w:val="323760CF"/>
    <w:rsid w:val="326F3CEB"/>
    <w:rsid w:val="32BD2363"/>
    <w:rsid w:val="32E14A9C"/>
    <w:rsid w:val="339733AC"/>
    <w:rsid w:val="35A05D86"/>
    <w:rsid w:val="368D7288"/>
    <w:rsid w:val="36D35B2E"/>
    <w:rsid w:val="36E20DE2"/>
    <w:rsid w:val="375D2DA8"/>
    <w:rsid w:val="389159CC"/>
    <w:rsid w:val="38D62BFD"/>
    <w:rsid w:val="38DC311F"/>
    <w:rsid w:val="39033292"/>
    <w:rsid w:val="39674370"/>
    <w:rsid w:val="39EC7CB4"/>
    <w:rsid w:val="3A614610"/>
    <w:rsid w:val="3A9605C9"/>
    <w:rsid w:val="3AA12D62"/>
    <w:rsid w:val="3B0945FC"/>
    <w:rsid w:val="3B9F54F4"/>
    <w:rsid w:val="3C3F1E27"/>
    <w:rsid w:val="3C4933E2"/>
    <w:rsid w:val="3C9C6416"/>
    <w:rsid w:val="3E011698"/>
    <w:rsid w:val="3E104F38"/>
    <w:rsid w:val="3E1A03AF"/>
    <w:rsid w:val="40C610F4"/>
    <w:rsid w:val="411E510D"/>
    <w:rsid w:val="415E7BFF"/>
    <w:rsid w:val="421F203A"/>
    <w:rsid w:val="433B01F8"/>
    <w:rsid w:val="43F90E21"/>
    <w:rsid w:val="449A56E1"/>
    <w:rsid w:val="45791A39"/>
    <w:rsid w:val="45CF2405"/>
    <w:rsid w:val="45DE4E6B"/>
    <w:rsid w:val="46516BD2"/>
    <w:rsid w:val="467D254B"/>
    <w:rsid w:val="48470484"/>
    <w:rsid w:val="48674AAB"/>
    <w:rsid w:val="48B869A3"/>
    <w:rsid w:val="49D56585"/>
    <w:rsid w:val="4A8E5BC6"/>
    <w:rsid w:val="4AD557D5"/>
    <w:rsid w:val="4AE056A6"/>
    <w:rsid w:val="4B153543"/>
    <w:rsid w:val="4B8E0FDD"/>
    <w:rsid w:val="4C003D8D"/>
    <w:rsid w:val="4CAC4D81"/>
    <w:rsid w:val="4CF46A5E"/>
    <w:rsid w:val="4D6B41E4"/>
    <w:rsid w:val="4DC8394B"/>
    <w:rsid w:val="4DF85E67"/>
    <w:rsid w:val="4E2D10F2"/>
    <w:rsid w:val="50281264"/>
    <w:rsid w:val="50BC4940"/>
    <w:rsid w:val="511E563F"/>
    <w:rsid w:val="516A7DF6"/>
    <w:rsid w:val="51C8287E"/>
    <w:rsid w:val="52733990"/>
    <w:rsid w:val="52A720B3"/>
    <w:rsid w:val="53182FAA"/>
    <w:rsid w:val="5335265D"/>
    <w:rsid w:val="54341113"/>
    <w:rsid w:val="54D9742D"/>
    <w:rsid w:val="56682C5A"/>
    <w:rsid w:val="57B23381"/>
    <w:rsid w:val="58170B75"/>
    <w:rsid w:val="58234994"/>
    <w:rsid w:val="587358E6"/>
    <w:rsid w:val="5A144EA7"/>
    <w:rsid w:val="5C68135C"/>
    <w:rsid w:val="5C850FB8"/>
    <w:rsid w:val="5C961BA3"/>
    <w:rsid w:val="5D4D6706"/>
    <w:rsid w:val="5D752101"/>
    <w:rsid w:val="5D8440F2"/>
    <w:rsid w:val="5DB57BC2"/>
    <w:rsid w:val="5E721FFD"/>
    <w:rsid w:val="5FA026E7"/>
    <w:rsid w:val="60160345"/>
    <w:rsid w:val="60307DE2"/>
    <w:rsid w:val="60760E8B"/>
    <w:rsid w:val="60D47047"/>
    <w:rsid w:val="61044DA7"/>
    <w:rsid w:val="61693D2A"/>
    <w:rsid w:val="619D1288"/>
    <w:rsid w:val="622C200E"/>
    <w:rsid w:val="627E2712"/>
    <w:rsid w:val="64277415"/>
    <w:rsid w:val="651346D9"/>
    <w:rsid w:val="657B4072"/>
    <w:rsid w:val="65CF0692"/>
    <w:rsid w:val="65FC516D"/>
    <w:rsid w:val="66076049"/>
    <w:rsid w:val="67876CB8"/>
    <w:rsid w:val="67A0037D"/>
    <w:rsid w:val="67C63C85"/>
    <w:rsid w:val="680F23C8"/>
    <w:rsid w:val="68305B8E"/>
    <w:rsid w:val="6874548F"/>
    <w:rsid w:val="688A30F1"/>
    <w:rsid w:val="691D1DC4"/>
    <w:rsid w:val="6A741864"/>
    <w:rsid w:val="6B4725E3"/>
    <w:rsid w:val="6B8E0476"/>
    <w:rsid w:val="6CDE381E"/>
    <w:rsid w:val="6CE238A4"/>
    <w:rsid w:val="6D68133A"/>
    <w:rsid w:val="6E865639"/>
    <w:rsid w:val="6ECB66E8"/>
    <w:rsid w:val="70A47020"/>
    <w:rsid w:val="717534C3"/>
    <w:rsid w:val="72B9250E"/>
    <w:rsid w:val="72EA0195"/>
    <w:rsid w:val="732B573B"/>
    <w:rsid w:val="74A055AC"/>
    <w:rsid w:val="763E26CA"/>
    <w:rsid w:val="76472144"/>
    <w:rsid w:val="76E00193"/>
    <w:rsid w:val="76F0487A"/>
    <w:rsid w:val="77533BFD"/>
    <w:rsid w:val="776668EA"/>
    <w:rsid w:val="79633776"/>
    <w:rsid w:val="7AB20CB0"/>
    <w:rsid w:val="7B871525"/>
    <w:rsid w:val="7C10151B"/>
    <w:rsid w:val="7C2728DD"/>
    <w:rsid w:val="7D0B7D55"/>
    <w:rsid w:val="7DA9105C"/>
    <w:rsid w:val="7DDD79B2"/>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1"/>
    <w:qFormat/>
    <w:uiPriority w:val="0"/>
    <w:pPr>
      <w:keepNext/>
      <w:keepLines/>
      <w:tabs>
        <w:tab w:val="left" w:pos="0"/>
      </w:tabs>
      <w:spacing w:before="50"/>
      <w:jc w:val="left"/>
      <w:outlineLvl w:val="1"/>
    </w:pPr>
    <w:rPr>
      <w:rFonts w:ascii="Arial" w:hAnsi="Arial" w:eastAsia="黑体"/>
      <w:kern w:val="0"/>
      <w:sz w:val="32"/>
      <w:szCs w:val="20"/>
    </w:rPr>
  </w:style>
  <w:style w:type="paragraph" w:styleId="6">
    <w:name w:val="heading 3"/>
    <w:basedOn w:val="1"/>
    <w:next w:val="1"/>
    <w:link w:val="39"/>
    <w:unhideWhenUsed/>
    <w:qFormat/>
    <w:uiPriority w:val="9"/>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link w:val="3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0"/>
    <w:qFormat/>
    <w:uiPriority w:val="0"/>
    <w:pPr>
      <w:ind w:firstLine="420"/>
    </w:pPr>
    <w:rPr>
      <w:rFonts w:ascii="Times New Roman" w:hAnsi="Times New Roman"/>
      <w:kern w:val="0"/>
      <w:sz w:val="20"/>
      <w:szCs w:val="20"/>
    </w:rPr>
  </w:style>
  <w:style w:type="paragraph" w:styleId="3">
    <w:name w:val="Body Text"/>
    <w:basedOn w:val="1"/>
    <w:next w:val="1"/>
    <w:link w:val="34"/>
    <w:unhideWhenUsed/>
    <w:qFormat/>
    <w:uiPriority w:val="0"/>
    <w:pPr>
      <w:spacing w:after="120"/>
    </w:pPr>
  </w:style>
  <w:style w:type="paragraph" w:styleId="8">
    <w:name w:val="Normal Indent"/>
    <w:basedOn w:val="1"/>
    <w:next w:val="1"/>
    <w:qFormat/>
    <w:uiPriority w:val="0"/>
    <w:pPr>
      <w:ind w:firstLine="420" w:firstLineChars="200"/>
    </w:pPr>
    <w:rPr>
      <w:kern w:val="0"/>
      <w:sz w:val="24"/>
      <w:szCs w:val="20"/>
    </w:rPr>
  </w:style>
  <w:style w:type="paragraph" w:styleId="9">
    <w:name w:val="annotation text"/>
    <w:basedOn w:val="1"/>
    <w:link w:val="36"/>
    <w:qFormat/>
    <w:uiPriority w:val="99"/>
    <w:pPr>
      <w:jc w:val="left"/>
    </w:pPr>
    <w:rPr>
      <w:rFonts w:ascii="Times New Roman" w:hAnsi="Times New Roman"/>
      <w:kern w:val="0"/>
      <w:sz w:val="20"/>
      <w:szCs w:val="24"/>
    </w:rPr>
  </w:style>
  <w:style w:type="paragraph" w:styleId="10">
    <w:name w:val="Body Text Indent"/>
    <w:basedOn w:val="1"/>
    <w:next w:val="1"/>
    <w:qFormat/>
    <w:uiPriority w:val="0"/>
    <w:pPr>
      <w:tabs>
        <w:tab w:val="left" w:pos="0"/>
        <w:tab w:val="left" w:pos="993"/>
        <w:tab w:val="left" w:pos="1134"/>
      </w:tabs>
      <w:spacing w:line="500" w:lineRule="exact"/>
      <w:ind w:firstLine="567"/>
    </w:pPr>
    <w:rPr>
      <w:rFonts w:ascii="宋体"/>
      <w:sz w:val="28"/>
    </w:rPr>
  </w:style>
  <w:style w:type="paragraph" w:styleId="11">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2">
    <w:name w:val="List Continue"/>
    <w:basedOn w:val="1"/>
    <w:qFormat/>
    <w:uiPriority w:val="0"/>
    <w:pPr>
      <w:spacing w:after="120"/>
      <w:ind w:left="420" w:leftChars="200"/>
      <w:contextualSpacing/>
    </w:pPr>
  </w:style>
  <w:style w:type="paragraph" w:styleId="13">
    <w:name w:val="Plain Text"/>
    <w:basedOn w:val="1"/>
    <w:link w:val="35"/>
    <w:qFormat/>
    <w:uiPriority w:val="0"/>
    <w:rPr>
      <w:rFonts w:ascii="宋体" w:hAnsi="Courier New"/>
      <w:kern w:val="0"/>
      <w:sz w:val="20"/>
      <w:szCs w:val="20"/>
    </w:rPr>
  </w:style>
  <w:style w:type="paragraph" w:styleId="14">
    <w:name w:val="Balloon Text"/>
    <w:basedOn w:val="1"/>
    <w:link w:val="46"/>
    <w:unhideWhenUsed/>
    <w:qFormat/>
    <w:uiPriority w:val="0"/>
    <w:rPr>
      <w:rFonts w:ascii="Times New Roman" w:hAnsi="Times New Roman"/>
      <w:sz w:val="18"/>
      <w:szCs w:val="18"/>
    </w:rPr>
  </w:style>
  <w:style w:type="paragraph" w:styleId="15">
    <w:name w:val="footer"/>
    <w:basedOn w:val="1"/>
    <w:link w:val="47"/>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rFonts w:ascii="Times New Roman" w:hAnsi="Times New Roman"/>
      <w:b/>
      <w:bCs/>
      <w:caps/>
      <w:sz w:val="20"/>
      <w:szCs w:val="20"/>
    </w:rPr>
  </w:style>
  <w:style w:type="paragraph" w:styleId="18">
    <w:name w:val="Normal (Web)"/>
    <w:basedOn w:val="1"/>
    <w:qFormat/>
    <w:uiPriority w:val="0"/>
    <w:rPr>
      <w:rFonts w:ascii="Times New Roman" w:hAnsi="Times New Roman"/>
      <w:sz w:val="24"/>
      <w:szCs w:val="20"/>
    </w:rPr>
  </w:style>
  <w:style w:type="paragraph" w:styleId="19">
    <w:name w:val="Body Text First Indent 2"/>
    <w:basedOn w:val="10"/>
    <w:next w:val="1"/>
    <w:qFormat/>
    <w:uiPriority w:val="0"/>
    <w:pPr>
      <w:ind w:firstLine="420"/>
    </w:pPr>
  </w:style>
  <w:style w:type="table" w:styleId="21">
    <w:name w:val="Table Grid"/>
    <w:basedOn w:val="2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character" w:styleId="24">
    <w:name w:val="annotation reference"/>
    <w:basedOn w:val="22"/>
    <w:qFormat/>
    <w:uiPriority w:val="99"/>
    <w:rPr>
      <w:sz w:val="21"/>
      <w:szCs w:val="21"/>
    </w:rPr>
  </w:style>
  <w:style w:type="paragraph" w:customStyle="1" w:styleId="25">
    <w:name w:val="Í¼±íÕýÎÄ"/>
    <w:basedOn w:val="1"/>
    <w:next w:val="8"/>
    <w:qFormat/>
    <w:uiPriority w:val="0"/>
    <w:pPr>
      <w:ind w:firstLine="420" w:firstLineChars="200"/>
    </w:pPr>
    <w:rPr>
      <w:rFonts w:ascii="Times New Roman" w:hAnsi="Times New Roman"/>
      <w:sz w:val="24"/>
      <w:szCs w:val="20"/>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8">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29">
    <w:name w:val="纯文本1"/>
    <w:basedOn w:val="1"/>
    <w:qFormat/>
    <w:uiPriority w:val="0"/>
    <w:rPr>
      <w:rFonts w:hint="eastAsia" w:ascii="宋体" w:hAnsi="Courier New"/>
      <w:kern w:val="0"/>
      <w:sz w:val="20"/>
      <w:szCs w:val="20"/>
    </w:rPr>
  </w:style>
  <w:style w:type="paragraph" w:customStyle="1" w:styleId="30">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31">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3">
    <w:name w:val="Body text|1"/>
    <w:basedOn w:val="1"/>
    <w:qFormat/>
    <w:uiPriority w:val="0"/>
    <w:pPr>
      <w:ind w:firstLine="170"/>
    </w:pPr>
    <w:rPr>
      <w:rFonts w:ascii="宋体" w:hAnsi="宋体" w:cs="宋体"/>
      <w:sz w:val="26"/>
      <w:szCs w:val="26"/>
      <w:lang w:val="zh-TW" w:eastAsia="zh-TW" w:bidi="zh-TW"/>
    </w:rPr>
  </w:style>
  <w:style w:type="character" w:customStyle="1" w:styleId="34">
    <w:name w:val="正文文本 字符"/>
    <w:basedOn w:val="22"/>
    <w:link w:val="3"/>
    <w:qFormat/>
    <w:uiPriority w:val="99"/>
    <w:rPr>
      <w:kern w:val="2"/>
      <w:sz w:val="21"/>
      <w:szCs w:val="22"/>
    </w:rPr>
  </w:style>
  <w:style w:type="character" w:customStyle="1" w:styleId="35">
    <w:name w:val="纯文本 字符"/>
    <w:link w:val="13"/>
    <w:qFormat/>
    <w:uiPriority w:val="0"/>
    <w:rPr>
      <w:rFonts w:ascii="宋体" w:hAnsi="Courier New"/>
    </w:rPr>
  </w:style>
  <w:style w:type="character" w:customStyle="1" w:styleId="36">
    <w:name w:val="批注文字 字符1"/>
    <w:link w:val="9"/>
    <w:qFormat/>
    <w:uiPriority w:val="99"/>
    <w:rPr>
      <w:rFonts w:ascii="Times New Roman" w:hAnsi="Times New Roman"/>
      <w:szCs w:val="24"/>
    </w:rPr>
  </w:style>
  <w:style w:type="character" w:customStyle="1" w:styleId="37">
    <w:name w:val="批注文字 字符"/>
    <w:basedOn w:val="22"/>
    <w:qFormat/>
    <w:uiPriority w:val="0"/>
    <w:rPr>
      <w:kern w:val="2"/>
      <w:sz w:val="21"/>
      <w:szCs w:val="22"/>
    </w:rPr>
  </w:style>
  <w:style w:type="character" w:customStyle="1" w:styleId="38">
    <w:name w:val="标题 4 字符"/>
    <w:basedOn w:val="22"/>
    <w:link w:val="7"/>
    <w:semiHidden/>
    <w:qFormat/>
    <w:uiPriority w:val="0"/>
    <w:rPr>
      <w:rFonts w:asciiTheme="majorHAnsi" w:hAnsiTheme="majorHAnsi" w:eastAsiaTheme="majorEastAsia" w:cstheme="majorBidi"/>
      <w:b/>
      <w:bCs/>
      <w:kern w:val="2"/>
      <w:sz w:val="28"/>
      <w:szCs w:val="28"/>
    </w:rPr>
  </w:style>
  <w:style w:type="character" w:customStyle="1" w:styleId="39">
    <w:name w:val="标题 3 字符"/>
    <w:basedOn w:val="22"/>
    <w:link w:val="6"/>
    <w:qFormat/>
    <w:uiPriority w:val="9"/>
    <w:rPr>
      <w:rFonts w:ascii="Times New Roman" w:hAnsi="Times New Roman"/>
      <w:b/>
      <w:bCs/>
      <w:kern w:val="2"/>
      <w:sz w:val="32"/>
      <w:szCs w:val="32"/>
    </w:rPr>
  </w:style>
  <w:style w:type="character" w:customStyle="1" w:styleId="40">
    <w:name w:val="正文文本首行缩进 字符"/>
    <w:basedOn w:val="34"/>
    <w:link w:val="2"/>
    <w:qFormat/>
    <w:uiPriority w:val="0"/>
    <w:rPr>
      <w:rFonts w:ascii="Times New Roman" w:hAnsi="Times New Roman"/>
      <w:kern w:val="2"/>
      <w:sz w:val="21"/>
      <w:szCs w:val="22"/>
    </w:rPr>
  </w:style>
  <w:style w:type="paragraph" w:customStyle="1" w:styleId="41">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42">
    <w:name w:val="Header or footer|1"/>
    <w:basedOn w:val="1"/>
    <w:qFormat/>
    <w:uiPriority w:val="0"/>
    <w:rPr>
      <w:rFonts w:ascii="Times New Roman" w:hAnsi="Times New Roman"/>
      <w:szCs w:val="24"/>
      <w:lang w:val="zh-TW" w:eastAsia="zh-TW" w:bidi="zh-TW"/>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4">
    <w:name w:val="List Paragraph"/>
    <w:basedOn w:val="1"/>
    <w:qFormat/>
    <w:uiPriority w:val="99"/>
    <w:pPr>
      <w:ind w:firstLine="420" w:firstLineChars="200"/>
    </w:pPr>
    <w:rPr>
      <w:szCs w:val="20"/>
    </w:rPr>
  </w:style>
  <w:style w:type="paragraph" w:customStyle="1" w:styleId="45">
    <w:name w:val="msolistparagraph"/>
    <w:basedOn w:val="1"/>
    <w:qFormat/>
    <w:uiPriority w:val="99"/>
    <w:pPr>
      <w:ind w:firstLine="420" w:firstLineChars="200"/>
    </w:pPr>
    <w:rPr>
      <w:rFonts w:ascii="Times New Roman" w:hAnsi="Times New Roman"/>
      <w:szCs w:val="24"/>
    </w:rPr>
  </w:style>
  <w:style w:type="character" w:customStyle="1" w:styleId="46">
    <w:name w:val="批注框文本 字符"/>
    <w:basedOn w:val="22"/>
    <w:link w:val="14"/>
    <w:qFormat/>
    <w:uiPriority w:val="0"/>
    <w:rPr>
      <w:rFonts w:ascii="Times New Roman" w:hAnsi="Times New Roman"/>
      <w:kern w:val="2"/>
      <w:sz w:val="18"/>
      <w:szCs w:val="18"/>
    </w:rPr>
  </w:style>
  <w:style w:type="character" w:customStyle="1" w:styleId="47">
    <w:name w:val="页脚 字符"/>
    <w:basedOn w:val="22"/>
    <w:link w:val="15"/>
    <w:qFormat/>
    <w:uiPriority w:val="99"/>
    <w:rPr>
      <w:kern w:val="2"/>
      <w:sz w:val="18"/>
      <w:szCs w:val="18"/>
    </w:rPr>
  </w:style>
  <w:style w:type="character" w:customStyle="1" w:styleId="48">
    <w:name w:val="font21"/>
    <w:basedOn w:val="22"/>
    <w:qFormat/>
    <w:uiPriority w:val="0"/>
    <w:rPr>
      <w:rFonts w:hint="eastAsia" w:ascii="仿宋" w:hAnsi="仿宋" w:eastAsia="仿宋" w:cs="仿宋"/>
      <w:color w:val="333333"/>
      <w:sz w:val="22"/>
      <w:szCs w:val="22"/>
      <w:u w:val="none"/>
    </w:rPr>
  </w:style>
  <w:style w:type="paragraph" w:customStyle="1" w:styleId="49">
    <w:name w:val="无间隔1"/>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D9933-D47A-4DB1-B482-1EE28BA6F1D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70</Pages>
  <Words>5295</Words>
  <Characters>30187</Characters>
  <Lines>251</Lines>
  <Paragraphs>70</Paragraphs>
  <TotalTime>21</TotalTime>
  <ScaleCrop>false</ScaleCrop>
  <LinksUpToDate>false</LinksUpToDate>
  <CharactersWithSpaces>35412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2021-10-09T07:49:00Z</dcterms:created>
  <dc:creator>陈凯敏</dc:creator>
  <cp:lastModifiedBy>微信用户</cp:lastModifiedBy>
  <dcterms:modified xsi:type="dcterms:W3CDTF">2022-07-27T09:04:36Z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520DA6D5DCF34CAB8E845FA871C6F09D</vt:lpwstr>
  </property>
</Properties>
</file>