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sz w:val="44"/>
          <w:szCs w:val="44"/>
        </w:rPr>
      </w:pPr>
    </w:p>
    <w:p>
      <w:pPr>
        <w:tabs>
          <w:tab w:val="left" w:pos="2450"/>
        </w:tabs>
        <w:spacing w:line="680" w:lineRule="exact"/>
        <w:rPr>
          <w:rFonts w:ascii="宋体" w:hAnsi="宋体" w:cs="宋体"/>
          <w:sz w:val="44"/>
          <w:szCs w:val="44"/>
        </w:rPr>
      </w:pPr>
    </w:p>
    <w:p>
      <w:pPr>
        <w:snapToGrid w:val="0"/>
        <w:spacing w:line="360" w:lineRule="auto"/>
        <w:jc w:val="center"/>
        <w:rPr>
          <w:rFonts w:ascii="宋体" w:hAnsi="宋体" w:cs="宋体"/>
          <w:b/>
          <w:spacing w:val="170"/>
          <w:kern w:val="0"/>
          <w:sz w:val="84"/>
          <w:szCs w:val="84"/>
        </w:rPr>
      </w:pPr>
    </w:p>
    <w:p>
      <w:pPr>
        <w:snapToGrid w:val="0"/>
        <w:spacing w:line="360" w:lineRule="auto"/>
        <w:jc w:val="center"/>
        <w:rPr>
          <w:rFonts w:ascii="宋体" w:hAnsi="宋体" w:cs="宋体"/>
          <w:b/>
          <w:spacing w:val="170"/>
          <w:kern w:val="0"/>
          <w:sz w:val="84"/>
          <w:szCs w:val="84"/>
        </w:rPr>
      </w:pPr>
      <w:r>
        <w:rPr>
          <w:rFonts w:hint="eastAsia" w:ascii="宋体" w:hAnsi="宋体" w:cs="宋体"/>
          <w:b/>
          <w:spacing w:val="170"/>
          <w:kern w:val="0"/>
          <w:sz w:val="84"/>
          <w:szCs w:val="84"/>
        </w:rPr>
        <w:t>竞争性磋商</w:t>
      </w:r>
      <w:r>
        <w:rPr>
          <w:rFonts w:hint="eastAsia" w:ascii="宋体" w:hAnsi="宋体" w:cs="宋体"/>
          <w:b/>
          <w:spacing w:val="170"/>
          <w:sz w:val="84"/>
          <w:szCs w:val="84"/>
        </w:rPr>
        <w:t>文件</w:t>
      </w:r>
    </w:p>
    <w:p>
      <w:pPr>
        <w:tabs>
          <w:tab w:val="left" w:pos="2450"/>
        </w:tabs>
        <w:spacing w:line="680" w:lineRule="exact"/>
        <w:rPr>
          <w:rFonts w:ascii="宋体" w:hAnsi="宋体" w:cs="宋体"/>
          <w:sz w:val="44"/>
          <w:szCs w:val="44"/>
        </w:rPr>
      </w:pPr>
      <w:r>
        <w:rPr>
          <w:rFonts w:hint="eastAsia" w:ascii="宋体" w:hAnsi="宋体" w:cs="宋体"/>
          <w:sz w:val="44"/>
          <w:szCs w:val="44"/>
        </w:rPr>
        <w:tab/>
      </w:r>
    </w:p>
    <w:p>
      <w:pPr>
        <w:adjustRightInd w:val="0"/>
        <w:snapToGrid w:val="0"/>
        <w:spacing w:line="800" w:lineRule="exact"/>
        <w:rPr>
          <w:rFonts w:ascii="宋体" w:hAnsi="宋体" w:cs="宋体"/>
          <w:sz w:val="44"/>
          <w:szCs w:val="44"/>
        </w:rPr>
      </w:pPr>
    </w:p>
    <w:p>
      <w:pPr>
        <w:adjustRightInd w:val="0"/>
        <w:snapToGrid w:val="0"/>
        <w:spacing w:line="800" w:lineRule="exact"/>
        <w:ind w:firstLine="840" w:firstLineChars="300"/>
        <w:rPr>
          <w:rFonts w:hint="eastAsia" w:ascii="宋体" w:hAnsi="宋体" w:eastAsia="宋体" w:cs="宋体"/>
          <w:bCs/>
          <w:sz w:val="28"/>
          <w:szCs w:val="32"/>
          <w:lang w:eastAsia="zh-CN"/>
        </w:rPr>
      </w:pPr>
      <w:r>
        <w:rPr>
          <w:rFonts w:hint="eastAsia" w:ascii="宋体" w:hAnsi="宋体" w:cs="宋体"/>
          <w:bCs/>
          <w:sz w:val="28"/>
          <w:szCs w:val="32"/>
        </w:rPr>
        <w:t>采购项目编号：</w:t>
      </w:r>
      <w:r>
        <w:rPr>
          <w:rFonts w:hint="eastAsia" w:ascii="宋体" w:hAnsi="宋体" w:cs="宋体"/>
          <w:bCs/>
          <w:sz w:val="28"/>
          <w:szCs w:val="32"/>
          <w:lang w:eastAsia="zh-CN"/>
        </w:rPr>
        <w:t>畅誉磋商-2022001</w:t>
      </w:r>
    </w:p>
    <w:p>
      <w:pPr>
        <w:adjustRightInd w:val="0"/>
        <w:snapToGrid w:val="0"/>
        <w:spacing w:line="800" w:lineRule="exact"/>
        <w:ind w:firstLine="840" w:firstLineChars="300"/>
        <w:rPr>
          <w:rFonts w:ascii="宋体" w:hAnsi="宋体" w:cs="宋体"/>
          <w:bCs/>
          <w:sz w:val="28"/>
          <w:szCs w:val="32"/>
        </w:rPr>
      </w:pPr>
      <w:r>
        <w:rPr>
          <w:rFonts w:hint="eastAsia" w:ascii="宋体" w:hAnsi="宋体" w:cs="宋体"/>
          <w:bCs/>
          <w:sz w:val="28"/>
          <w:szCs w:val="32"/>
        </w:rPr>
        <w:t>采购项目名称：常州市天宁区土地征收成片开发方案编制服务</w:t>
      </w:r>
    </w:p>
    <w:p>
      <w:pPr>
        <w:adjustRightInd w:val="0"/>
        <w:snapToGrid w:val="0"/>
        <w:spacing w:line="800" w:lineRule="exact"/>
        <w:ind w:firstLine="839" w:firstLineChars="247"/>
        <w:rPr>
          <w:rFonts w:ascii="宋体" w:hAnsi="宋体" w:cs="宋体"/>
          <w:bCs/>
          <w:sz w:val="28"/>
          <w:szCs w:val="32"/>
        </w:rPr>
      </w:pPr>
      <w:r>
        <w:rPr>
          <w:rFonts w:hint="eastAsia" w:ascii="宋体" w:hAnsi="宋体" w:cs="宋体"/>
          <w:bCs/>
          <w:spacing w:val="30"/>
          <w:sz w:val="28"/>
          <w:szCs w:val="32"/>
        </w:rPr>
        <w:t>采购人名</w:t>
      </w:r>
      <w:r>
        <w:rPr>
          <w:rFonts w:hint="eastAsia" w:ascii="宋体" w:hAnsi="宋体" w:cs="宋体"/>
          <w:bCs/>
          <w:sz w:val="28"/>
          <w:szCs w:val="32"/>
        </w:rPr>
        <w:t>称：常州市天宁区住房和城乡建设局</w:t>
      </w:r>
    </w:p>
    <w:p>
      <w:pPr>
        <w:adjustRightInd w:val="0"/>
        <w:snapToGrid w:val="0"/>
        <w:spacing w:line="800" w:lineRule="exact"/>
        <w:ind w:firstLine="839" w:firstLineChars="247"/>
        <w:rPr>
          <w:rFonts w:ascii="宋体" w:hAnsi="宋体" w:cs="宋体"/>
          <w:bCs/>
          <w:spacing w:val="30"/>
          <w:sz w:val="28"/>
          <w:szCs w:val="32"/>
        </w:rPr>
      </w:pPr>
      <w:r>
        <w:rPr>
          <w:rFonts w:hint="eastAsia" w:ascii="宋体" w:hAnsi="宋体" w:cs="宋体"/>
          <w:bCs/>
          <w:spacing w:val="30"/>
          <w:sz w:val="28"/>
          <w:szCs w:val="32"/>
          <w:lang w:val="zh-CN"/>
        </w:rPr>
        <w:t>代理</w:t>
      </w:r>
      <w:r>
        <w:rPr>
          <w:rFonts w:hint="eastAsia" w:ascii="宋体" w:hAnsi="宋体" w:cs="宋体"/>
          <w:bCs/>
          <w:spacing w:val="30"/>
          <w:sz w:val="28"/>
          <w:szCs w:val="32"/>
        </w:rPr>
        <w:t>公司</w:t>
      </w:r>
      <w:r>
        <w:rPr>
          <w:rFonts w:hint="eastAsia" w:ascii="宋体" w:hAnsi="宋体" w:cs="宋体"/>
          <w:bCs/>
          <w:spacing w:val="30"/>
          <w:sz w:val="28"/>
          <w:szCs w:val="32"/>
          <w:lang w:val="zh-CN"/>
        </w:rPr>
        <w:t>：江苏畅誉项目管理有限公司</w:t>
      </w:r>
    </w:p>
    <w:p>
      <w:pPr>
        <w:adjustRightInd w:val="0"/>
        <w:snapToGrid w:val="0"/>
        <w:spacing w:line="800" w:lineRule="exact"/>
        <w:ind w:firstLine="839" w:firstLineChars="247"/>
        <w:rPr>
          <w:rFonts w:ascii="宋体" w:hAnsi="宋体" w:cs="宋体"/>
          <w:bCs/>
          <w:spacing w:val="30"/>
          <w:sz w:val="28"/>
          <w:szCs w:val="32"/>
        </w:rPr>
      </w:pPr>
    </w:p>
    <w:p>
      <w:pPr>
        <w:spacing w:line="480" w:lineRule="exact"/>
        <w:rPr>
          <w:rFonts w:ascii="宋体" w:hAnsi="宋体" w:cs="宋体"/>
          <w:sz w:val="36"/>
          <w:szCs w:val="36"/>
        </w:rPr>
      </w:pPr>
    </w:p>
    <w:p>
      <w:pPr>
        <w:spacing w:line="480" w:lineRule="exact"/>
        <w:jc w:val="center"/>
        <w:rPr>
          <w:rFonts w:ascii="宋体" w:hAnsi="宋体" w:cs="宋体"/>
          <w:sz w:val="36"/>
          <w:szCs w:val="36"/>
        </w:rPr>
      </w:pPr>
    </w:p>
    <w:p>
      <w:pPr>
        <w:jc w:val="center"/>
        <w:rPr>
          <w:rFonts w:ascii="宋体" w:hAnsi="宋体" w:cs="宋体"/>
          <w:sz w:val="36"/>
          <w:szCs w:val="36"/>
        </w:rPr>
      </w:pPr>
    </w:p>
    <w:p>
      <w:pPr>
        <w:jc w:val="center"/>
        <w:rPr>
          <w:rFonts w:ascii="宋体" w:hAnsi="宋体" w:cs="宋体"/>
          <w:b/>
          <w:sz w:val="30"/>
        </w:rPr>
      </w:pPr>
      <w:r>
        <w:rPr>
          <w:rFonts w:hint="eastAsia" w:ascii="宋体" w:hAnsi="宋体" w:cs="宋体"/>
          <w:w w:val="90"/>
          <w:sz w:val="44"/>
          <w:szCs w:val="44"/>
        </w:rPr>
        <w:t>二〇二二年十月</w:t>
      </w:r>
    </w:p>
    <w:p>
      <w:pPr>
        <w:spacing w:before="100" w:after="240" w:line="500" w:lineRule="exact"/>
        <w:jc w:val="center"/>
        <w:rPr>
          <w:rFonts w:ascii="宋体" w:hAnsi="宋体" w:cs="宋体"/>
          <w:b/>
          <w:sz w:val="44"/>
          <w:szCs w:val="44"/>
        </w:rPr>
      </w:pPr>
    </w:p>
    <w:p>
      <w:pPr>
        <w:spacing w:before="100" w:after="240" w:line="500" w:lineRule="exact"/>
        <w:jc w:val="center"/>
        <w:rPr>
          <w:rFonts w:ascii="宋体" w:hAnsi="宋体" w:cs="宋体"/>
          <w:b/>
          <w:sz w:val="44"/>
          <w:szCs w:val="44"/>
        </w:rPr>
      </w:pPr>
    </w:p>
    <w:p>
      <w:pPr>
        <w:pStyle w:val="10"/>
        <w:adjustRightInd w:val="0"/>
        <w:snapToGrid w:val="0"/>
        <w:jc w:val="center"/>
        <w:rPr>
          <w:sz w:val="44"/>
          <w:szCs w:val="44"/>
        </w:rPr>
      </w:pPr>
    </w:p>
    <w:sdt>
      <w:sdtPr>
        <w:rPr>
          <w:rFonts w:hint="eastAsia" w:ascii="宋体" w:hAnsi="宋体" w:eastAsia="宋体" w:cs="宋体"/>
          <w:b w:val="0"/>
          <w:bCs w:val="0"/>
          <w:color w:val="auto"/>
          <w:kern w:val="2"/>
          <w:sz w:val="21"/>
          <w:szCs w:val="20"/>
          <w:lang w:val="zh-CN"/>
        </w:rPr>
        <w:id w:val="21916659"/>
        <w:docPartObj>
          <w:docPartGallery w:val="Table of Contents"/>
          <w:docPartUnique/>
        </w:docPartObj>
      </w:sdtPr>
      <w:sdtEndPr>
        <w:rPr>
          <w:rFonts w:hint="eastAsia" w:ascii="宋体" w:hAnsi="宋体" w:eastAsia="宋体" w:cs="宋体"/>
          <w:b w:val="0"/>
          <w:bCs w:val="0"/>
          <w:color w:val="auto"/>
          <w:kern w:val="2"/>
          <w:sz w:val="21"/>
          <w:szCs w:val="20"/>
          <w:lang w:val="en-US"/>
        </w:rPr>
      </w:sdtEndPr>
      <w:sdtContent>
        <w:p>
          <w:pPr>
            <w:pStyle w:val="61"/>
            <w:spacing w:line="360" w:lineRule="auto"/>
            <w:jc w:val="center"/>
            <w:rPr>
              <w:rFonts w:ascii="宋体" w:hAnsi="宋体" w:eastAsia="宋体" w:cs="宋体"/>
              <w:color w:val="auto"/>
              <w:sz w:val="44"/>
              <w:szCs w:val="44"/>
              <w:lang w:val="zh-CN"/>
            </w:rPr>
          </w:pPr>
          <w:r>
            <w:rPr>
              <w:rFonts w:hint="eastAsia" w:ascii="宋体" w:hAnsi="宋体" w:eastAsia="宋体" w:cs="宋体"/>
              <w:color w:val="auto"/>
              <w:sz w:val="44"/>
              <w:szCs w:val="44"/>
              <w:lang w:val="zh-CN"/>
            </w:rPr>
            <w:t>目  录</w:t>
          </w:r>
        </w:p>
        <w:p>
          <w:pPr>
            <w:rPr>
              <w:rFonts w:ascii="宋体" w:hAnsi="宋体" w:cs="宋体"/>
              <w:lang w:val="zh-CN"/>
            </w:rPr>
          </w:pPr>
        </w:p>
        <w:p>
          <w:pPr>
            <w:pStyle w:val="18"/>
            <w:rPr>
              <w:rFonts w:ascii="宋体" w:hAnsi="宋体" w:cs="宋体"/>
              <w:b/>
              <w:sz w:val="32"/>
              <w:szCs w:val="32"/>
            </w:rPr>
          </w:pPr>
          <w:r>
            <w:rPr>
              <w:rFonts w:hint="eastAsia" w:ascii="宋体" w:hAnsi="宋体" w:cs="宋体"/>
              <w:b/>
              <w:sz w:val="32"/>
              <w:szCs w:val="32"/>
            </w:rPr>
            <w:fldChar w:fldCharType="begin"/>
          </w:r>
          <w:r>
            <w:rPr>
              <w:rFonts w:hint="eastAsia" w:ascii="宋体" w:hAnsi="宋体" w:cs="宋体"/>
              <w:b/>
              <w:sz w:val="32"/>
              <w:szCs w:val="32"/>
            </w:rPr>
            <w:instrText xml:space="preserve"> TOC \o "1-3" \h \z \u </w:instrText>
          </w:r>
          <w:r>
            <w:rPr>
              <w:rFonts w:hint="eastAsia" w:ascii="宋体" w:hAnsi="宋体" w:cs="宋体"/>
              <w:b/>
              <w:sz w:val="32"/>
              <w:szCs w:val="32"/>
            </w:rPr>
            <w:fldChar w:fldCharType="separate"/>
          </w:r>
          <w:r>
            <w:fldChar w:fldCharType="begin"/>
          </w:r>
          <w:r>
            <w:instrText xml:space="preserve"> HYPERLINK \l "_Toc17537926" </w:instrText>
          </w:r>
          <w:r>
            <w:fldChar w:fldCharType="separate"/>
          </w:r>
          <w:r>
            <w:rPr>
              <w:rStyle w:val="26"/>
              <w:rFonts w:hint="eastAsia" w:ascii="宋体" w:hAnsi="宋体" w:cs="宋体"/>
              <w:b/>
              <w:sz w:val="32"/>
              <w:szCs w:val="32"/>
            </w:rPr>
            <w:t>竞争性磋商公告</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_Toc17537926 \h </w:instrText>
          </w:r>
          <w:r>
            <w:rPr>
              <w:rFonts w:hint="eastAsia" w:ascii="宋体" w:hAnsi="宋体" w:cs="宋体"/>
              <w:b/>
              <w:sz w:val="32"/>
              <w:szCs w:val="32"/>
            </w:rPr>
            <w:fldChar w:fldCharType="separate"/>
          </w:r>
          <w:r>
            <w:rPr>
              <w:rFonts w:hint="eastAsia" w:ascii="宋体" w:hAnsi="宋体" w:cs="宋体"/>
              <w:b/>
              <w:sz w:val="32"/>
              <w:szCs w:val="32"/>
            </w:rPr>
            <w:t>3</w:t>
          </w:r>
          <w:r>
            <w:rPr>
              <w:rFonts w:hint="eastAsia" w:ascii="宋体" w:hAnsi="宋体" w:cs="宋体"/>
              <w:b/>
              <w:sz w:val="32"/>
              <w:szCs w:val="32"/>
            </w:rPr>
            <w:fldChar w:fldCharType="end"/>
          </w:r>
          <w:r>
            <w:rPr>
              <w:rFonts w:hint="eastAsia" w:ascii="宋体" w:hAnsi="宋体" w:cs="宋体"/>
              <w:b/>
              <w:sz w:val="32"/>
              <w:szCs w:val="32"/>
            </w:rPr>
            <w:fldChar w:fldCharType="end"/>
          </w:r>
        </w:p>
        <w:p>
          <w:pPr>
            <w:pStyle w:val="18"/>
            <w:rPr>
              <w:rFonts w:ascii="宋体" w:hAnsi="宋体" w:cs="宋体"/>
              <w:b/>
              <w:sz w:val="32"/>
              <w:szCs w:val="32"/>
            </w:rPr>
          </w:pPr>
          <w:r>
            <w:fldChar w:fldCharType="begin"/>
          </w:r>
          <w:r>
            <w:instrText xml:space="preserve"> HYPERLINK \l "_Toc17537927" </w:instrText>
          </w:r>
          <w:r>
            <w:fldChar w:fldCharType="separate"/>
          </w:r>
          <w:r>
            <w:rPr>
              <w:rStyle w:val="26"/>
              <w:rFonts w:hint="eastAsia" w:ascii="宋体" w:hAnsi="宋体" w:cs="宋体"/>
              <w:b/>
              <w:sz w:val="32"/>
              <w:szCs w:val="32"/>
            </w:rPr>
            <w:t>第一章  总    则</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_Toc17537927 \h </w:instrText>
          </w:r>
          <w:r>
            <w:rPr>
              <w:rFonts w:hint="eastAsia" w:ascii="宋体" w:hAnsi="宋体" w:cs="宋体"/>
              <w:b/>
              <w:sz w:val="32"/>
              <w:szCs w:val="32"/>
            </w:rPr>
            <w:fldChar w:fldCharType="separate"/>
          </w:r>
          <w:r>
            <w:rPr>
              <w:rFonts w:hint="eastAsia" w:ascii="宋体" w:hAnsi="宋体" w:cs="宋体"/>
              <w:b/>
              <w:sz w:val="32"/>
              <w:szCs w:val="32"/>
            </w:rPr>
            <w:t>6</w:t>
          </w:r>
          <w:r>
            <w:rPr>
              <w:rFonts w:hint="eastAsia" w:ascii="宋体" w:hAnsi="宋体" w:cs="宋体"/>
              <w:b/>
              <w:sz w:val="32"/>
              <w:szCs w:val="32"/>
            </w:rPr>
            <w:fldChar w:fldCharType="end"/>
          </w:r>
          <w:r>
            <w:rPr>
              <w:rFonts w:hint="eastAsia" w:ascii="宋体" w:hAnsi="宋体" w:cs="宋体"/>
              <w:b/>
              <w:sz w:val="32"/>
              <w:szCs w:val="32"/>
            </w:rPr>
            <w:fldChar w:fldCharType="end"/>
          </w:r>
        </w:p>
        <w:p>
          <w:pPr>
            <w:pStyle w:val="18"/>
            <w:rPr>
              <w:rFonts w:ascii="宋体" w:hAnsi="宋体" w:cs="宋体"/>
              <w:b/>
              <w:sz w:val="32"/>
              <w:szCs w:val="32"/>
            </w:rPr>
          </w:pPr>
          <w:r>
            <w:fldChar w:fldCharType="begin"/>
          </w:r>
          <w:r>
            <w:instrText xml:space="preserve"> HYPERLINK \l "_Toc17537928" </w:instrText>
          </w:r>
          <w:r>
            <w:fldChar w:fldCharType="separate"/>
          </w:r>
          <w:r>
            <w:rPr>
              <w:rStyle w:val="26"/>
              <w:rFonts w:hint="eastAsia" w:ascii="宋体" w:hAnsi="宋体" w:cs="宋体"/>
              <w:b/>
              <w:sz w:val="32"/>
              <w:szCs w:val="32"/>
            </w:rPr>
            <w:t>第二章  采购项目及技术要求</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_Toc17537928 \h </w:instrText>
          </w:r>
          <w:r>
            <w:rPr>
              <w:rFonts w:hint="eastAsia" w:ascii="宋体" w:hAnsi="宋体" w:cs="宋体"/>
              <w:b/>
              <w:sz w:val="32"/>
              <w:szCs w:val="32"/>
            </w:rPr>
            <w:fldChar w:fldCharType="separate"/>
          </w:r>
          <w:r>
            <w:rPr>
              <w:rFonts w:hint="eastAsia" w:ascii="宋体" w:hAnsi="宋体" w:cs="宋体"/>
              <w:b/>
              <w:sz w:val="32"/>
              <w:szCs w:val="32"/>
            </w:rPr>
            <w:t>14</w:t>
          </w:r>
          <w:r>
            <w:rPr>
              <w:rFonts w:hint="eastAsia" w:ascii="宋体" w:hAnsi="宋体" w:cs="宋体"/>
              <w:b/>
              <w:sz w:val="32"/>
              <w:szCs w:val="32"/>
            </w:rPr>
            <w:fldChar w:fldCharType="end"/>
          </w:r>
          <w:r>
            <w:rPr>
              <w:rFonts w:hint="eastAsia" w:ascii="宋体" w:hAnsi="宋体" w:cs="宋体"/>
              <w:b/>
              <w:sz w:val="32"/>
              <w:szCs w:val="32"/>
            </w:rPr>
            <w:fldChar w:fldCharType="end"/>
          </w:r>
        </w:p>
        <w:p>
          <w:pPr>
            <w:pStyle w:val="18"/>
            <w:rPr>
              <w:rFonts w:ascii="宋体" w:hAnsi="宋体" w:cs="宋体"/>
              <w:b/>
              <w:sz w:val="32"/>
              <w:szCs w:val="32"/>
            </w:rPr>
          </w:pPr>
          <w:r>
            <w:fldChar w:fldCharType="begin"/>
          </w:r>
          <w:r>
            <w:instrText xml:space="preserve"> HYPERLINK \l "_Toc17537929" </w:instrText>
          </w:r>
          <w:r>
            <w:fldChar w:fldCharType="separate"/>
          </w:r>
          <w:r>
            <w:rPr>
              <w:rStyle w:val="26"/>
              <w:rFonts w:hint="eastAsia" w:ascii="宋体" w:hAnsi="宋体" w:cs="宋体"/>
              <w:b/>
              <w:sz w:val="32"/>
              <w:szCs w:val="32"/>
            </w:rPr>
            <w:t>第三章  合同主要条款</w:t>
          </w:r>
          <w:r>
            <w:rPr>
              <w:rFonts w:hint="eastAsia" w:ascii="宋体" w:hAnsi="宋体" w:cs="宋体"/>
              <w:b/>
              <w:sz w:val="32"/>
              <w:szCs w:val="32"/>
            </w:rPr>
            <w:tab/>
          </w:r>
          <w:r>
            <w:rPr>
              <w:rFonts w:hint="eastAsia" w:ascii="宋体" w:hAnsi="宋体" w:cs="宋体"/>
              <w:b/>
              <w:sz w:val="32"/>
              <w:szCs w:val="32"/>
            </w:rPr>
            <w:t>1</w:t>
          </w:r>
          <w:r>
            <w:rPr>
              <w:rFonts w:hint="eastAsia" w:ascii="宋体" w:hAnsi="宋体" w:cs="宋体"/>
              <w:b/>
              <w:sz w:val="32"/>
              <w:szCs w:val="32"/>
            </w:rPr>
            <w:fldChar w:fldCharType="end"/>
          </w:r>
          <w:r>
            <w:rPr>
              <w:rFonts w:hint="eastAsia" w:ascii="宋体" w:hAnsi="宋体" w:cs="宋体"/>
              <w:b/>
              <w:sz w:val="32"/>
              <w:szCs w:val="32"/>
            </w:rPr>
            <w:t>9</w:t>
          </w:r>
        </w:p>
        <w:p>
          <w:pPr>
            <w:pStyle w:val="18"/>
            <w:rPr>
              <w:rFonts w:ascii="宋体" w:hAnsi="宋体" w:cs="宋体"/>
              <w:b/>
              <w:sz w:val="32"/>
              <w:szCs w:val="32"/>
            </w:rPr>
          </w:pPr>
          <w:r>
            <w:fldChar w:fldCharType="begin"/>
          </w:r>
          <w:r>
            <w:instrText xml:space="preserve"> HYPERLINK \l "_Toc17537930" </w:instrText>
          </w:r>
          <w:r>
            <w:fldChar w:fldCharType="separate"/>
          </w:r>
          <w:r>
            <w:rPr>
              <w:rStyle w:val="26"/>
              <w:rFonts w:hint="eastAsia" w:ascii="宋体" w:hAnsi="宋体" w:cs="宋体"/>
              <w:b/>
              <w:sz w:val="32"/>
              <w:szCs w:val="32"/>
            </w:rPr>
            <w:t>第四章  评审细则</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_Toc17537930 \h </w:instrText>
          </w:r>
          <w:r>
            <w:rPr>
              <w:rFonts w:hint="eastAsia" w:ascii="宋体" w:hAnsi="宋体" w:cs="宋体"/>
              <w:b/>
              <w:sz w:val="32"/>
              <w:szCs w:val="32"/>
            </w:rPr>
            <w:fldChar w:fldCharType="separate"/>
          </w:r>
          <w:r>
            <w:rPr>
              <w:rFonts w:hint="eastAsia" w:ascii="宋体" w:hAnsi="宋体" w:cs="宋体"/>
              <w:b/>
              <w:sz w:val="32"/>
              <w:szCs w:val="32"/>
            </w:rPr>
            <w:t>22</w:t>
          </w:r>
          <w:r>
            <w:rPr>
              <w:rFonts w:hint="eastAsia" w:ascii="宋体" w:hAnsi="宋体" w:cs="宋体"/>
              <w:b/>
              <w:sz w:val="32"/>
              <w:szCs w:val="32"/>
            </w:rPr>
            <w:fldChar w:fldCharType="end"/>
          </w:r>
          <w:r>
            <w:rPr>
              <w:rFonts w:hint="eastAsia" w:ascii="宋体" w:hAnsi="宋体" w:cs="宋体"/>
              <w:b/>
              <w:sz w:val="32"/>
              <w:szCs w:val="32"/>
            </w:rPr>
            <w:fldChar w:fldCharType="end"/>
          </w:r>
        </w:p>
        <w:p>
          <w:pPr>
            <w:pStyle w:val="18"/>
            <w:rPr>
              <w:rFonts w:ascii="宋体" w:hAnsi="宋体" w:cs="宋体"/>
              <w:b/>
              <w:sz w:val="32"/>
              <w:szCs w:val="32"/>
            </w:rPr>
          </w:pPr>
          <w:r>
            <w:fldChar w:fldCharType="begin"/>
          </w:r>
          <w:r>
            <w:instrText xml:space="preserve"> HYPERLINK \l "_Toc17537931" </w:instrText>
          </w:r>
          <w:r>
            <w:fldChar w:fldCharType="separate"/>
          </w:r>
          <w:r>
            <w:rPr>
              <w:rStyle w:val="26"/>
              <w:rFonts w:hint="eastAsia" w:ascii="宋体" w:hAnsi="宋体" w:cs="宋体"/>
              <w:b/>
              <w:sz w:val="32"/>
              <w:szCs w:val="32"/>
            </w:rPr>
            <w:t>第五章  磋商响应文件的组成</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_Toc17537931 \h </w:instrText>
          </w:r>
          <w:r>
            <w:rPr>
              <w:rFonts w:hint="eastAsia" w:ascii="宋体" w:hAnsi="宋体" w:cs="宋体"/>
              <w:b/>
              <w:sz w:val="32"/>
              <w:szCs w:val="32"/>
            </w:rPr>
            <w:fldChar w:fldCharType="separate"/>
          </w:r>
          <w:r>
            <w:rPr>
              <w:rFonts w:hint="eastAsia" w:ascii="宋体" w:hAnsi="宋体" w:cs="宋体"/>
              <w:b/>
              <w:sz w:val="32"/>
              <w:szCs w:val="32"/>
            </w:rPr>
            <w:t>26</w:t>
          </w:r>
          <w:r>
            <w:rPr>
              <w:rFonts w:hint="eastAsia" w:ascii="宋体" w:hAnsi="宋体" w:cs="宋体"/>
              <w:b/>
              <w:sz w:val="32"/>
              <w:szCs w:val="32"/>
            </w:rPr>
            <w:fldChar w:fldCharType="end"/>
          </w:r>
          <w:r>
            <w:rPr>
              <w:rFonts w:hint="eastAsia" w:ascii="宋体" w:hAnsi="宋体" w:cs="宋体"/>
              <w:b/>
              <w:sz w:val="32"/>
              <w:szCs w:val="32"/>
            </w:rPr>
            <w:fldChar w:fldCharType="end"/>
          </w:r>
        </w:p>
        <w:p>
          <w:pPr>
            <w:pStyle w:val="18"/>
            <w:rPr>
              <w:rFonts w:ascii="宋体" w:hAnsi="宋体" w:cs="宋体"/>
              <w:b/>
              <w:sz w:val="32"/>
              <w:szCs w:val="32"/>
            </w:rPr>
          </w:pPr>
          <w:r>
            <w:fldChar w:fldCharType="begin"/>
          </w:r>
          <w:r>
            <w:instrText xml:space="preserve"> HYPERLINK \l "_Toc17537932" </w:instrText>
          </w:r>
          <w:r>
            <w:fldChar w:fldCharType="separate"/>
          </w:r>
          <w:r>
            <w:rPr>
              <w:rStyle w:val="26"/>
              <w:rFonts w:hint="eastAsia" w:ascii="宋体" w:hAnsi="宋体" w:cs="宋体"/>
              <w:b/>
              <w:sz w:val="32"/>
              <w:szCs w:val="32"/>
            </w:rPr>
            <w:t>第六章  附    件</w:t>
          </w:r>
          <w:r>
            <w:rPr>
              <w:rFonts w:hint="eastAsia" w:ascii="宋体" w:hAnsi="宋体" w:cs="宋体"/>
              <w:b/>
              <w:sz w:val="32"/>
              <w:szCs w:val="32"/>
            </w:rPr>
            <w:tab/>
          </w:r>
          <w:r>
            <w:rPr>
              <w:rFonts w:hint="eastAsia" w:ascii="宋体" w:hAnsi="宋体" w:cs="宋体"/>
              <w:b/>
              <w:sz w:val="32"/>
              <w:szCs w:val="32"/>
            </w:rPr>
            <w:fldChar w:fldCharType="begin"/>
          </w:r>
          <w:r>
            <w:rPr>
              <w:rFonts w:hint="eastAsia" w:ascii="宋体" w:hAnsi="宋体" w:cs="宋体"/>
              <w:b/>
              <w:sz w:val="32"/>
              <w:szCs w:val="32"/>
            </w:rPr>
            <w:instrText xml:space="preserve"> PAGEREF _Toc17537932 \h </w:instrText>
          </w:r>
          <w:r>
            <w:rPr>
              <w:rFonts w:hint="eastAsia" w:ascii="宋体" w:hAnsi="宋体" w:cs="宋体"/>
              <w:b/>
              <w:sz w:val="32"/>
              <w:szCs w:val="32"/>
            </w:rPr>
            <w:fldChar w:fldCharType="separate"/>
          </w:r>
          <w:r>
            <w:rPr>
              <w:rFonts w:hint="eastAsia" w:ascii="宋体" w:hAnsi="宋体" w:cs="宋体"/>
              <w:b/>
              <w:sz w:val="32"/>
              <w:szCs w:val="32"/>
            </w:rPr>
            <w:t>27</w:t>
          </w:r>
          <w:r>
            <w:rPr>
              <w:rFonts w:hint="eastAsia" w:ascii="宋体" w:hAnsi="宋体" w:cs="宋体"/>
              <w:b/>
              <w:sz w:val="32"/>
              <w:szCs w:val="32"/>
            </w:rPr>
            <w:fldChar w:fldCharType="end"/>
          </w:r>
          <w:r>
            <w:rPr>
              <w:rFonts w:hint="eastAsia" w:ascii="宋体" w:hAnsi="宋体" w:cs="宋体"/>
              <w:b/>
              <w:sz w:val="32"/>
              <w:szCs w:val="32"/>
            </w:rPr>
            <w:fldChar w:fldCharType="end"/>
          </w:r>
        </w:p>
        <w:p>
          <w:pPr>
            <w:rPr>
              <w:rFonts w:ascii="宋体" w:hAnsi="宋体" w:cs="宋体"/>
            </w:rPr>
          </w:pPr>
          <w:r>
            <w:rPr>
              <w:rFonts w:hint="eastAsia" w:ascii="宋体" w:hAnsi="宋体" w:cs="宋体"/>
              <w:b/>
              <w:sz w:val="32"/>
              <w:szCs w:val="32"/>
            </w:rPr>
            <w:fldChar w:fldCharType="end"/>
          </w:r>
        </w:p>
      </w:sdtContent>
    </w:sdt>
    <w:p>
      <w:pPr>
        <w:spacing w:line="360" w:lineRule="auto"/>
        <w:jc w:val="center"/>
        <w:rPr>
          <w:rFonts w:ascii="宋体" w:hAnsi="宋体" w:cs="宋体"/>
          <w:b/>
          <w:bCs/>
          <w:sz w:val="24"/>
          <w:szCs w:val="24"/>
        </w:rPr>
      </w:pPr>
    </w:p>
    <w:p>
      <w:pPr>
        <w:spacing w:line="360" w:lineRule="auto"/>
        <w:rPr>
          <w:rFonts w:ascii="宋体" w:hAnsi="宋体" w:cs="宋体"/>
          <w:b/>
          <w:bCs/>
          <w:sz w:val="24"/>
          <w:szCs w:val="24"/>
        </w:rPr>
      </w:pPr>
    </w:p>
    <w:p>
      <w:pPr>
        <w:spacing w:line="360" w:lineRule="auto"/>
        <w:rPr>
          <w:rFonts w:ascii="宋体" w:hAnsi="宋体" w:cs="宋体"/>
          <w:b/>
          <w:bCs/>
          <w:sz w:val="24"/>
          <w:szCs w:val="24"/>
        </w:rPr>
      </w:pPr>
    </w:p>
    <w:p>
      <w:pPr>
        <w:spacing w:line="360" w:lineRule="auto"/>
        <w:rPr>
          <w:rFonts w:ascii="宋体" w:hAnsi="宋体" w:cs="宋体"/>
          <w:b/>
          <w:bCs/>
          <w:sz w:val="24"/>
          <w:szCs w:val="24"/>
        </w:rPr>
      </w:pPr>
    </w:p>
    <w:p>
      <w:pPr>
        <w:spacing w:line="360" w:lineRule="auto"/>
        <w:rPr>
          <w:rFonts w:ascii="宋体" w:hAnsi="宋体" w:cs="宋体"/>
          <w:b/>
          <w:bCs/>
          <w:sz w:val="24"/>
          <w:szCs w:val="24"/>
        </w:rPr>
      </w:pPr>
    </w:p>
    <w:p>
      <w:pPr>
        <w:spacing w:line="360" w:lineRule="auto"/>
        <w:rPr>
          <w:rFonts w:ascii="宋体" w:hAnsi="宋体" w:cs="宋体"/>
          <w:b/>
          <w:bCs/>
          <w:sz w:val="24"/>
          <w:szCs w:val="24"/>
        </w:rPr>
      </w:pPr>
    </w:p>
    <w:p>
      <w:pPr>
        <w:spacing w:line="360" w:lineRule="auto"/>
        <w:rPr>
          <w:rFonts w:ascii="宋体" w:hAnsi="宋体" w:cs="宋体"/>
          <w:b/>
          <w:bCs/>
          <w:sz w:val="24"/>
          <w:szCs w:val="24"/>
        </w:rPr>
      </w:pPr>
    </w:p>
    <w:p>
      <w:pPr>
        <w:spacing w:line="360" w:lineRule="auto"/>
        <w:rPr>
          <w:rFonts w:ascii="宋体" w:hAnsi="宋体" w:cs="宋体"/>
          <w:b/>
          <w:bCs/>
          <w:sz w:val="24"/>
          <w:szCs w:val="24"/>
        </w:rPr>
      </w:pPr>
    </w:p>
    <w:p>
      <w:pPr>
        <w:spacing w:line="360" w:lineRule="auto"/>
        <w:rPr>
          <w:rFonts w:ascii="宋体" w:hAnsi="宋体" w:cs="宋体"/>
          <w:b/>
          <w:bCs/>
          <w:sz w:val="24"/>
          <w:szCs w:val="24"/>
        </w:rPr>
      </w:pPr>
    </w:p>
    <w:p>
      <w:pPr>
        <w:adjustRightInd w:val="0"/>
        <w:snapToGrid w:val="0"/>
        <w:jc w:val="center"/>
        <w:rPr>
          <w:rFonts w:hint="eastAsia" w:ascii="宋体" w:hAnsi="宋体" w:cs="宋体"/>
          <w:b/>
          <w:sz w:val="32"/>
          <w:szCs w:val="32"/>
          <w:u w:val="single"/>
        </w:rPr>
      </w:pPr>
    </w:p>
    <w:p>
      <w:pPr>
        <w:adjustRightInd w:val="0"/>
        <w:snapToGrid w:val="0"/>
        <w:jc w:val="center"/>
        <w:rPr>
          <w:rFonts w:hint="eastAsia" w:ascii="宋体" w:hAnsi="宋体" w:cs="宋体"/>
          <w:b/>
          <w:sz w:val="32"/>
          <w:szCs w:val="32"/>
          <w:u w:val="single"/>
        </w:rPr>
      </w:pPr>
    </w:p>
    <w:p>
      <w:pPr>
        <w:adjustRightInd w:val="0"/>
        <w:snapToGrid w:val="0"/>
        <w:jc w:val="center"/>
        <w:rPr>
          <w:rFonts w:hint="eastAsia" w:ascii="宋体" w:hAnsi="宋体" w:cs="宋体"/>
          <w:b/>
          <w:sz w:val="32"/>
          <w:szCs w:val="32"/>
          <w:u w:val="single"/>
        </w:rPr>
      </w:pPr>
    </w:p>
    <w:p>
      <w:pPr>
        <w:adjustRightInd w:val="0"/>
        <w:snapToGrid w:val="0"/>
        <w:jc w:val="center"/>
        <w:rPr>
          <w:rFonts w:ascii="宋体" w:hAnsi="宋体" w:cs="宋体"/>
          <w:b/>
          <w:sz w:val="32"/>
          <w:szCs w:val="28"/>
        </w:rPr>
      </w:pPr>
      <w:r>
        <w:rPr>
          <w:rFonts w:hint="eastAsia" w:ascii="宋体" w:hAnsi="宋体" w:cs="宋体"/>
          <w:b/>
          <w:sz w:val="32"/>
          <w:szCs w:val="28"/>
        </w:rPr>
        <w:t>常州市天宁区土地征收成片开发方案编制服务</w:t>
      </w:r>
    </w:p>
    <w:p>
      <w:pPr>
        <w:pStyle w:val="3"/>
        <w:adjustRightInd w:val="0"/>
        <w:snapToGrid w:val="0"/>
        <w:spacing w:line="360" w:lineRule="auto"/>
        <w:rPr>
          <w:rFonts w:ascii="宋体" w:hAnsi="宋体" w:cs="宋体"/>
          <w:sz w:val="24"/>
        </w:rPr>
      </w:pPr>
      <w:bookmarkStart w:id="0" w:name="_Toc17537926"/>
      <w:r>
        <w:rPr>
          <w:rFonts w:hint="eastAsia" w:ascii="宋体" w:hAnsi="宋体" w:cs="宋体"/>
          <w:szCs w:val="28"/>
        </w:rPr>
        <w:t>竞争性磋商公告</w:t>
      </w:r>
      <w:bookmarkEnd w:id="0"/>
    </w:p>
    <w:p>
      <w:pPr>
        <w:pBdr>
          <w:top w:val="single" w:color="auto" w:sz="4" w:space="1"/>
          <w:left w:val="single" w:color="auto" w:sz="4" w:space="4"/>
          <w:bottom w:val="single" w:color="auto" w:sz="4" w:space="10"/>
          <w:right w:val="single" w:color="auto" w:sz="4" w:space="4"/>
        </w:pBdr>
        <w:adjustRightInd w:val="0"/>
        <w:snapToGrid w:val="0"/>
        <w:spacing w:line="360" w:lineRule="auto"/>
        <w:ind w:firstLine="420" w:firstLineChars="200"/>
        <w:rPr>
          <w:rFonts w:ascii="宋体" w:hAnsi="宋体" w:cs="宋体"/>
          <w:szCs w:val="21"/>
        </w:rPr>
      </w:pPr>
      <w:r>
        <w:rPr>
          <w:rFonts w:hint="eastAsia" w:ascii="宋体" w:hAnsi="宋体" w:cs="宋体"/>
          <w:szCs w:val="21"/>
        </w:rPr>
        <w:t>项目概况</w:t>
      </w:r>
    </w:p>
    <w:p>
      <w:pPr>
        <w:pBdr>
          <w:top w:val="single" w:color="auto" w:sz="4" w:space="1"/>
          <w:left w:val="single" w:color="auto" w:sz="4" w:space="4"/>
          <w:bottom w:val="single" w:color="auto" w:sz="4" w:space="10"/>
          <w:right w:val="single" w:color="auto" w:sz="4" w:space="4"/>
        </w:pBdr>
        <w:adjustRightInd w:val="0"/>
        <w:snapToGrid w:val="0"/>
        <w:spacing w:line="360" w:lineRule="auto"/>
        <w:ind w:firstLine="422" w:firstLineChars="200"/>
        <w:rPr>
          <w:rFonts w:ascii="宋体" w:hAnsi="宋体" w:cs="宋体"/>
          <w:szCs w:val="21"/>
        </w:rPr>
      </w:pPr>
      <w:r>
        <w:rPr>
          <w:rFonts w:hint="eastAsia" w:ascii="宋体" w:hAnsi="宋体" w:cs="宋体"/>
          <w:b/>
          <w:bCs/>
          <w:szCs w:val="21"/>
          <w:lang w:val="en-US" w:eastAsia="zh-CN"/>
        </w:rPr>
        <w:t>2022年度</w:t>
      </w:r>
      <w:r>
        <w:rPr>
          <w:rFonts w:hint="eastAsia" w:ascii="宋体" w:hAnsi="宋体" w:cs="宋体"/>
          <w:b/>
          <w:bCs/>
          <w:szCs w:val="21"/>
        </w:rPr>
        <w:t>常州市天宁区土地征收成片开发方案编制服务</w:t>
      </w:r>
      <w:r>
        <w:rPr>
          <w:rFonts w:hint="eastAsia" w:ascii="宋体" w:hAnsi="宋体" w:cs="宋体"/>
          <w:szCs w:val="21"/>
        </w:rPr>
        <w:t>的潜在供应商应在江苏畅誉项目管理有限公司获取采购文件，并于</w:t>
      </w:r>
      <w:r>
        <w:rPr>
          <w:rFonts w:hint="eastAsia" w:ascii="宋体" w:hAnsi="宋体" w:cs="宋体"/>
          <w:b/>
          <w:bCs/>
          <w:szCs w:val="21"/>
        </w:rPr>
        <w:t>2022年</w:t>
      </w:r>
      <w:r>
        <w:rPr>
          <w:rFonts w:hint="eastAsia" w:ascii="宋体" w:hAnsi="宋体" w:cs="宋体"/>
          <w:b/>
          <w:bCs/>
          <w:szCs w:val="21"/>
          <w:highlight w:val="green"/>
        </w:rPr>
        <w:t xml:space="preserve"> 11 </w:t>
      </w:r>
      <w:r>
        <w:rPr>
          <w:rFonts w:hint="eastAsia" w:ascii="宋体" w:hAnsi="宋体" w:cs="宋体"/>
          <w:b/>
          <w:bCs/>
          <w:szCs w:val="21"/>
        </w:rPr>
        <w:t>月</w:t>
      </w:r>
      <w:r>
        <w:rPr>
          <w:rFonts w:hint="eastAsia" w:ascii="宋体" w:hAnsi="宋体" w:cs="宋体"/>
          <w:b/>
          <w:bCs/>
          <w:szCs w:val="21"/>
          <w:highlight w:val="green"/>
        </w:rPr>
        <w:t xml:space="preserve"> 9 </w:t>
      </w:r>
      <w:r>
        <w:rPr>
          <w:rFonts w:hint="eastAsia" w:ascii="宋体" w:hAnsi="宋体" w:cs="宋体"/>
          <w:b/>
          <w:bCs/>
          <w:szCs w:val="21"/>
        </w:rPr>
        <w:t>日</w:t>
      </w:r>
      <w:r>
        <w:rPr>
          <w:rFonts w:hint="eastAsia" w:ascii="宋体" w:hAnsi="宋体" w:cs="宋体"/>
          <w:b/>
          <w:bCs/>
          <w:szCs w:val="21"/>
          <w:highlight w:val="green"/>
        </w:rPr>
        <w:t xml:space="preserve"> 14 </w:t>
      </w:r>
      <w:r>
        <w:rPr>
          <w:rFonts w:hint="eastAsia" w:ascii="宋体" w:hAnsi="宋体" w:cs="宋体"/>
          <w:b/>
          <w:bCs/>
          <w:szCs w:val="21"/>
        </w:rPr>
        <w:t>点</w:t>
      </w:r>
      <w:r>
        <w:rPr>
          <w:rFonts w:hint="eastAsia" w:ascii="宋体" w:hAnsi="宋体" w:cs="宋体"/>
          <w:b/>
          <w:bCs/>
          <w:szCs w:val="21"/>
          <w:highlight w:val="green"/>
        </w:rPr>
        <w:t>00</w:t>
      </w:r>
      <w:r>
        <w:rPr>
          <w:rFonts w:hint="eastAsia" w:ascii="宋体" w:hAnsi="宋体" w:cs="宋体"/>
          <w:b/>
          <w:bCs/>
          <w:szCs w:val="21"/>
        </w:rPr>
        <w:t>分（北京时间）</w:t>
      </w:r>
      <w:r>
        <w:rPr>
          <w:rFonts w:hint="eastAsia" w:ascii="宋体" w:hAnsi="宋体" w:cs="宋体"/>
          <w:szCs w:val="21"/>
        </w:rPr>
        <w:t>前提交响应文件。</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一、项目基本情况</w:t>
      </w:r>
    </w:p>
    <w:p>
      <w:pPr>
        <w:adjustRightInd w:val="0"/>
        <w:snapToGrid w:val="0"/>
        <w:spacing w:line="800" w:lineRule="exact"/>
        <w:ind w:firstLine="420" w:firstLineChars="200"/>
        <w:rPr>
          <w:rFonts w:hint="eastAsia" w:ascii="宋体" w:hAnsi="宋体" w:eastAsia="宋体" w:cs="宋体"/>
          <w:szCs w:val="21"/>
          <w:lang w:eastAsia="zh-CN"/>
        </w:rPr>
      </w:pPr>
      <w:r>
        <w:rPr>
          <w:rFonts w:hint="eastAsia" w:ascii="宋体" w:hAnsi="宋体" w:cs="宋体"/>
          <w:szCs w:val="21"/>
        </w:rPr>
        <w:t>1.项</w:t>
      </w:r>
      <w:bookmarkStart w:id="7" w:name="_GoBack"/>
      <w:bookmarkEnd w:id="7"/>
      <w:r>
        <w:rPr>
          <w:rFonts w:hint="eastAsia" w:ascii="宋体" w:hAnsi="宋体" w:cs="宋体"/>
          <w:szCs w:val="21"/>
        </w:rPr>
        <w:t>目编号：</w:t>
      </w:r>
      <w:r>
        <w:rPr>
          <w:rFonts w:hint="eastAsia" w:ascii="宋体" w:hAnsi="宋体" w:cs="宋体"/>
          <w:bCs/>
          <w:szCs w:val="21"/>
          <w:lang w:eastAsia="zh-CN"/>
        </w:rPr>
        <w:t>畅誉磋商-2022001</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2.项目名称：常州市天宁区土地征收成片开发方案编制服务</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3.采购方式：竞争性磋商</w:t>
      </w:r>
    </w:p>
    <w:p>
      <w:pPr>
        <w:adjustRightInd w:val="0"/>
        <w:snapToGrid w:val="0"/>
        <w:spacing w:line="360" w:lineRule="auto"/>
        <w:ind w:firstLine="422" w:firstLineChars="200"/>
        <w:rPr>
          <w:rFonts w:ascii="宋体" w:hAnsi="宋体" w:cs="宋体"/>
          <w:b/>
          <w:bCs/>
          <w:color w:val="FF0000"/>
          <w:szCs w:val="21"/>
        </w:rPr>
      </w:pPr>
      <w:r>
        <w:rPr>
          <w:rFonts w:hint="eastAsia" w:ascii="宋体" w:hAnsi="宋体" w:cs="宋体"/>
          <w:b/>
          <w:bCs/>
          <w:color w:val="FF0000"/>
          <w:szCs w:val="21"/>
        </w:rPr>
        <w:t>4.预算金额：人民币120万元</w:t>
      </w:r>
    </w:p>
    <w:p>
      <w:pPr>
        <w:adjustRightInd w:val="0"/>
        <w:snapToGrid w:val="0"/>
        <w:spacing w:line="360" w:lineRule="auto"/>
        <w:ind w:firstLine="422" w:firstLineChars="200"/>
        <w:rPr>
          <w:rFonts w:ascii="宋体" w:hAnsi="宋体" w:cs="宋体"/>
          <w:color w:val="FF0000"/>
          <w:szCs w:val="21"/>
        </w:rPr>
      </w:pPr>
      <w:r>
        <w:rPr>
          <w:rFonts w:hint="eastAsia" w:ascii="宋体" w:hAnsi="宋体" w:cs="宋体"/>
          <w:b/>
          <w:bCs/>
          <w:color w:val="FF0000"/>
          <w:szCs w:val="21"/>
        </w:rPr>
        <w:t>5.最高限价：人民币120万元（人民币20万元/片区）</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6.采购需求：（1）收集、分析各类基础数据及相关资料，全面覆盖各类城乡用地；系统整合各类数据，确定土地征成片开发重点区域并进行分析评估；对重点区域开展现状调查及近期重点项目梳理。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在符合相关规划的基础上，分析现状基础条件，多方案比选，确定具体的单个成片开发片区；通过影像识别、现场踏勘及数据整合，摸清单片区当前的开发建设、土地权属及基础设施状况；确定单片区的功能定位及主要用途，开展必要性论述；确定片区未来5年拟征收的集体土地范围、项目建设范围及具体的开发建设时序；摸清拟征收集体土地的具体地类、涉及的被征地人数，积极征求所涉及的集体经济组织、相关部门、人大代表、政协委员、专家学者及社会工作的意见；制定被征地农民保障措施；对开发片区进行资金预算并做好经济、社会、生态效益评估。</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（3）依据《江苏省自然资源厅关于开展土地征收成片开发方案编制工作的通知》（苏自然资函〔2021〕15 号）、《江苏省自然资源厅关于加快推进土地征收成片开发方案编制工作的通知》（苏自然资发〔</w:t>
      </w:r>
      <w:r>
        <w:rPr>
          <w:rFonts w:ascii="宋体" w:hAnsi="宋体" w:cs="宋体"/>
          <w:szCs w:val="21"/>
        </w:rPr>
        <w:t>2021〕138号）</w:t>
      </w:r>
      <w:r>
        <w:rPr>
          <w:rFonts w:hint="eastAsia" w:ascii="宋体" w:hAnsi="宋体" w:cs="宋体"/>
          <w:szCs w:val="21"/>
        </w:rPr>
        <w:t>等相关文件，结合</w:t>
      </w:r>
      <w:r>
        <w:rPr>
          <w:rFonts w:hint="eastAsia" w:ascii="宋体" w:hAnsi="宋体" w:cs="宋体"/>
          <w:szCs w:val="21"/>
          <w:highlight w:val="yellow"/>
        </w:rPr>
        <w:t>天宁区</w:t>
      </w:r>
      <w:r>
        <w:rPr>
          <w:rFonts w:hint="eastAsia" w:ascii="宋体" w:hAnsi="宋体" w:cs="宋体"/>
          <w:szCs w:val="21"/>
        </w:rPr>
        <w:t>实际情况，编制天宁区土地征收成片开发方案，并按规定上报相关审批部门，通过专家组审查论证；确保获省自然资源厅批准。 </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7.合同履行期限：自合同签订之日至2022年12月31日前完成，具体时间结合相关上报时间安排，以采购人要求为准。如因政策变化原因造成时间延误，则项目完成时间相应顺延。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8.本项目不接受联合体。</w:t>
      </w:r>
    </w:p>
    <w:p>
      <w:pPr>
        <w:adjustRightInd w:val="0"/>
        <w:snapToGrid w:val="0"/>
        <w:spacing w:line="360" w:lineRule="auto"/>
        <w:ind w:firstLine="422" w:firstLineChars="200"/>
        <w:rPr>
          <w:rFonts w:ascii="宋体" w:hAnsi="宋体" w:cs="宋体"/>
          <w:b/>
          <w:kern w:val="0"/>
          <w:szCs w:val="21"/>
        </w:rPr>
      </w:pPr>
      <w:r>
        <w:rPr>
          <w:rFonts w:hint="eastAsia" w:ascii="宋体" w:hAnsi="宋体" w:cs="宋体"/>
          <w:b/>
          <w:kern w:val="0"/>
          <w:szCs w:val="21"/>
        </w:rPr>
        <w:t xml:space="preserve">二、申请人的资格要求 </w:t>
      </w:r>
    </w:p>
    <w:p>
      <w:pPr>
        <w:pStyle w:val="20"/>
        <w:widowControl/>
        <w:rPr>
          <w:rFonts w:ascii="宋体" w:hAnsi="宋体" w:cs="宋体"/>
          <w:kern w:val="2"/>
          <w:sz w:val="21"/>
          <w:szCs w:val="21"/>
        </w:rPr>
      </w:pPr>
      <w:r>
        <w:rPr>
          <w:rFonts w:hint="eastAsia" w:ascii="宋体" w:hAnsi="宋体" w:cs="宋体"/>
          <w:kern w:val="2"/>
          <w:sz w:val="21"/>
          <w:szCs w:val="21"/>
        </w:rPr>
        <w:t>1.满足《中华人民共和国政府采购法》第二十二条规定：</w:t>
      </w:r>
    </w:p>
    <w:p>
      <w:pPr>
        <w:pStyle w:val="20"/>
        <w:widowControl/>
        <w:rPr>
          <w:rFonts w:ascii="宋体" w:hAnsi="宋体" w:cs="宋体"/>
          <w:kern w:val="2"/>
          <w:sz w:val="21"/>
          <w:szCs w:val="21"/>
        </w:rPr>
      </w:pPr>
      <w:r>
        <w:rPr>
          <w:rFonts w:hint="eastAsia" w:ascii="宋体" w:hAnsi="宋体" w:cs="宋体"/>
          <w:kern w:val="2"/>
          <w:sz w:val="21"/>
          <w:szCs w:val="21"/>
        </w:rPr>
        <w:t>1.1未被“信用中国”网站（WWW.creditchina.gov.cn）或“中国政府采购网”网站（www.ccgp.gov.cn）列入失信被执行人、重大税收违法案件当事人名单、政府采购严重失信行为记录名单；</w:t>
      </w:r>
    </w:p>
    <w:p>
      <w:pPr>
        <w:pStyle w:val="20"/>
        <w:widowControl/>
        <w:rPr>
          <w:rFonts w:ascii="宋体" w:hAnsi="宋体" w:cs="宋体"/>
          <w:kern w:val="2"/>
          <w:sz w:val="21"/>
          <w:szCs w:val="21"/>
        </w:rPr>
      </w:pPr>
      <w:r>
        <w:rPr>
          <w:rFonts w:hint="eastAsia" w:ascii="宋体" w:hAnsi="宋体" w:cs="宋体"/>
          <w:kern w:val="2"/>
          <w:sz w:val="21"/>
          <w:szCs w:val="21"/>
        </w:rPr>
        <w:t>1.2单位负责人为同一人或者存在直接控股、管理关系的不同供应商（包含法定代表人为同一个人的两个及两个以上法人，母公司、全资子公司及其控股公司），不得参加同一合同项下的政府采购活动。</w:t>
      </w:r>
    </w:p>
    <w:p>
      <w:pPr>
        <w:pStyle w:val="20"/>
        <w:widowControl/>
        <w:rPr>
          <w:rFonts w:ascii="宋体" w:hAnsi="宋体" w:cs="宋体"/>
          <w:kern w:val="2"/>
          <w:sz w:val="21"/>
          <w:szCs w:val="21"/>
        </w:rPr>
      </w:pPr>
      <w:r>
        <w:rPr>
          <w:rFonts w:hint="eastAsia" w:ascii="宋体" w:hAnsi="宋体" w:cs="宋体"/>
          <w:kern w:val="2"/>
          <w:sz w:val="21"/>
          <w:szCs w:val="21"/>
        </w:rPr>
        <w:t>2.落实政府采购政策需满足的资格要求：</w:t>
      </w:r>
    </w:p>
    <w:p>
      <w:pPr>
        <w:pStyle w:val="20"/>
        <w:widowControl/>
        <w:rPr>
          <w:rFonts w:ascii="宋体" w:hAnsi="宋体" w:cs="宋体"/>
          <w:kern w:val="2"/>
          <w:sz w:val="21"/>
          <w:szCs w:val="21"/>
        </w:rPr>
      </w:pPr>
      <w:r>
        <w:rPr>
          <w:rFonts w:hint="eastAsia" w:ascii="宋体" w:hAnsi="宋体" w:cs="宋体"/>
          <w:kern w:val="2"/>
          <w:sz w:val="21"/>
          <w:szCs w:val="21"/>
        </w:rPr>
        <w:t>2.1中小企业政策</w:t>
      </w:r>
    </w:p>
    <w:p>
      <w:pPr>
        <w:pStyle w:val="20"/>
        <w:widowControl/>
        <w:rPr>
          <w:rFonts w:ascii="宋体" w:hAnsi="宋体" w:cs="宋体"/>
          <w:kern w:val="2"/>
          <w:sz w:val="21"/>
          <w:szCs w:val="21"/>
        </w:rPr>
      </w:pPr>
      <w:r>
        <w:rPr>
          <w:rFonts w:hint="eastAsia" w:ascii="宋体" w:hAnsi="宋体" w:cs="宋体"/>
          <w:kern w:val="2"/>
          <w:sz w:val="21"/>
          <w:szCs w:val="21"/>
        </w:rPr>
        <w:t>■本项目不专门面向中小企业预留采购份额。</w:t>
      </w:r>
    </w:p>
    <w:p>
      <w:pPr>
        <w:pStyle w:val="20"/>
        <w:widowControl/>
        <w:rPr>
          <w:rFonts w:ascii="宋体" w:hAnsi="宋体" w:cs="宋体"/>
          <w:kern w:val="2"/>
          <w:sz w:val="21"/>
          <w:szCs w:val="21"/>
        </w:rPr>
      </w:pPr>
      <w:r>
        <w:rPr>
          <w:rFonts w:hint="eastAsia" w:ascii="宋体" w:hAnsi="宋体" w:cs="宋体"/>
          <w:kern w:val="2"/>
          <w:sz w:val="21"/>
          <w:szCs w:val="21"/>
        </w:rPr>
        <w:t>□本项目专门面向 □中小□小微企业 采购。即：提供的货物全部由符合政策要求的中小/小微企业制造、服务全部由符合政策要求的中小/小微企业承接。</w:t>
      </w:r>
    </w:p>
    <w:p>
      <w:pPr>
        <w:pStyle w:val="20"/>
        <w:widowControl/>
        <w:rPr>
          <w:rFonts w:ascii="宋体" w:hAnsi="宋体" w:cs="宋体"/>
          <w:kern w:val="2"/>
          <w:sz w:val="21"/>
          <w:szCs w:val="21"/>
        </w:rPr>
      </w:pPr>
      <w:r>
        <w:rPr>
          <w:rFonts w:hint="eastAsia" w:ascii="宋体" w:hAnsi="宋体" w:cs="宋体"/>
          <w:kern w:val="2"/>
          <w:sz w:val="21"/>
          <w:szCs w:val="21"/>
        </w:rPr>
        <w:t>□本项目预留部分采购项目预算专门面向中小企业采购。对于预留份额，提供的货物由符合政策要求的中小企业制造、服务由符合政策要求的中小企业承接。预留份额通过以下措施进行：无。</w:t>
      </w:r>
    </w:p>
    <w:p>
      <w:pPr>
        <w:pStyle w:val="20"/>
        <w:widowControl/>
        <w:rPr>
          <w:rFonts w:ascii="宋体" w:hAnsi="宋体" w:cs="宋体"/>
          <w:kern w:val="2"/>
          <w:sz w:val="21"/>
          <w:szCs w:val="21"/>
        </w:rPr>
      </w:pPr>
      <w:r>
        <w:rPr>
          <w:rFonts w:hint="eastAsia" w:ascii="宋体" w:hAnsi="宋体" w:cs="宋体"/>
          <w:kern w:val="2"/>
          <w:sz w:val="21"/>
          <w:szCs w:val="21"/>
        </w:rPr>
        <w:t>本项目的特定资格要求：</w:t>
      </w:r>
    </w:p>
    <w:p>
      <w:pPr>
        <w:pStyle w:val="20"/>
        <w:widowControl/>
        <w:rPr>
          <w:rFonts w:ascii="宋体" w:hAnsi="宋体" w:cs="宋体"/>
          <w:kern w:val="2"/>
          <w:sz w:val="21"/>
          <w:szCs w:val="21"/>
        </w:rPr>
      </w:pPr>
      <w:r>
        <w:rPr>
          <w:rFonts w:hint="eastAsia" w:ascii="宋体" w:hAnsi="宋体" w:cs="宋体"/>
          <w:kern w:val="2"/>
          <w:sz w:val="21"/>
          <w:szCs w:val="21"/>
        </w:rPr>
        <w:t>3.1本项目是否接受分支机构参与响应：□是  ■否；</w:t>
      </w:r>
    </w:p>
    <w:p>
      <w:pPr>
        <w:adjustRightInd w:val="0"/>
        <w:snapToGrid w:val="0"/>
        <w:spacing w:line="360" w:lineRule="auto"/>
        <w:rPr>
          <w:rFonts w:ascii="宋体" w:hAnsi="宋体" w:cs="宋体"/>
          <w:b/>
          <w:bCs/>
          <w:szCs w:val="21"/>
        </w:rPr>
      </w:pPr>
      <w:r>
        <w:rPr>
          <w:rFonts w:hint="eastAsia" w:ascii="宋体" w:hAnsi="宋体" w:cs="宋体"/>
          <w:b/>
          <w:bCs/>
          <w:kern w:val="0"/>
          <w:szCs w:val="21"/>
        </w:rPr>
        <w:t>3.2</w:t>
      </w:r>
      <w:r>
        <w:rPr>
          <w:rFonts w:hint="eastAsia" w:ascii="宋体" w:hAnsi="宋体" w:cs="宋体"/>
          <w:b/>
          <w:bCs/>
        </w:rPr>
        <w:t>本项目的特定资格要求：供应商</w:t>
      </w:r>
      <w:r>
        <w:rPr>
          <w:rFonts w:hint="eastAsia" w:ascii="宋体" w:hAnsi="宋体" w:cs="宋体"/>
          <w:b/>
          <w:bCs/>
          <w:szCs w:val="21"/>
        </w:rPr>
        <w:t>同时具有土地规划机构等级证书丙级和测绘资质证书乙级或以上资质。（供应商土地规划、测绘资质，因国家机构改革，证书有效期过期未予补办，依旧视为资质有效。）</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三、获取采购文件</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1.时间：</w:t>
      </w:r>
      <w:r>
        <w:rPr>
          <w:rFonts w:hint="eastAsia" w:ascii="宋体" w:hAnsi="宋体" w:cs="宋体"/>
          <w:b/>
          <w:bCs/>
          <w:kern w:val="0"/>
          <w:szCs w:val="21"/>
        </w:rPr>
        <w:t>2022年</w:t>
      </w:r>
      <w:r>
        <w:rPr>
          <w:rFonts w:hint="eastAsia" w:ascii="宋体" w:hAnsi="宋体" w:cs="宋体"/>
          <w:b/>
          <w:bCs/>
          <w:kern w:val="0"/>
          <w:szCs w:val="21"/>
          <w:highlight w:val="green"/>
        </w:rPr>
        <w:t xml:space="preserve">  10  </w:t>
      </w:r>
      <w:r>
        <w:rPr>
          <w:rFonts w:hint="eastAsia" w:ascii="宋体" w:hAnsi="宋体" w:cs="宋体"/>
          <w:b/>
          <w:bCs/>
          <w:kern w:val="0"/>
          <w:szCs w:val="21"/>
        </w:rPr>
        <w:t>月</w:t>
      </w:r>
      <w:r>
        <w:rPr>
          <w:rFonts w:hint="eastAsia" w:ascii="宋体" w:hAnsi="宋体" w:cs="宋体"/>
          <w:b/>
          <w:bCs/>
          <w:kern w:val="0"/>
          <w:szCs w:val="21"/>
          <w:highlight w:val="green"/>
        </w:rPr>
        <w:t xml:space="preserve">  27  </w:t>
      </w:r>
      <w:r>
        <w:rPr>
          <w:rFonts w:hint="eastAsia" w:ascii="宋体" w:hAnsi="宋体" w:cs="宋体"/>
          <w:b/>
          <w:bCs/>
          <w:kern w:val="0"/>
          <w:szCs w:val="21"/>
        </w:rPr>
        <w:t>日至</w:t>
      </w:r>
      <w:r>
        <w:rPr>
          <w:rFonts w:hint="eastAsia" w:ascii="宋体" w:hAnsi="宋体" w:cs="宋体"/>
          <w:b/>
          <w:bCs/>
          <w:kern w:val="0"/>
          <w:szCs w:val="21"/>
          <w:highlight w:val="green"/>
        </w:rPr>
        <w:t xml:space="preserve"> 11  </w:t>
      </w:r>
      <w:r>
        <w:rPr>
          <w:rFonts w:hint="eastAsia" w:ascii="宋体" w:hAnsi="宋体" w:cs="宋体"/>
          <w:b/>
          <w:bCs/>
          <w:kern w:val="0"/>
          <w:szCs w:val="21"/>
        </w:rPr>
        <w:t>月</w:t>
      </w:r>
      <w:r>
        <w:rPr>
          <w:rFonts w:hint="eastAsia" w:ascii="宋体" w:hAnsi="宋体" w:cs="宋体"/>
          <w:b/>
          <w:bCs/>
          <w:kern w:val="0"/>
          <w:szCs w:val="21"/>
          <w:highlight w:val="green"/>
        </w:rPr>
        <w:t xml:space="preserve">  3 </w:t>
      </w:r>
      <w:r>
        <w:rPr>
          <w:rFonts w:hint="eastAsia" w:ascii="宋体" w:hAnsi="宋体" w:cs="宋体"/>
          <w:b/>
          <w:bCs/>
          <w:kern w:val="0"/>
          <w:szCs w:val="21"/>
        </w:rPr>
        <w:t>日，</w:t>
      </w:r>
      <w:r>
        <w:rPr>
          <w:rFonts w:hint="eastAsia" w:ascii="宋体" w:hAnsi="宋体" w:cs="宋体"/>
          <w:b/>
          <w:bCs/>
          <w:szCs w:val="21"/>
        </w:rPr>
        <w:t>每天上午8:30至11:30，下午1:30至5:30（北京时间，法定节假日除外）</w:t>
      </w:r>
    </w:p>
    <w:p>
      <w:pPr>
        <w:adjustRightInd w:val="0"/>
        <w:snapToGrid w:val="0"/>
        <w:spacing w:line="360" w:lineRule="auto"/>
        <w:ind w:firstLine="420" w:firstLineChars="200"/>
        <w:rPr>
          <w:rFonts w:ascii="宋体" w:hAnsi="宋体" w:cs="宋体"/>
        </w:rPr>
      </w:pPr>
      <w:r>
        <w:rPr>
          <w:rFonts w:hint="eastAsia" w:ascii="宋体" w:hAnsi="宋体" w:cs="宋体"/>
        </w:rPr>
        <w:t xml:space="preserve">2.地点：江苏畅誉项目管理有限公司（常州市天宁区弘智路7号） </w:t>
      </w:r>
    </w:p>
    <w:p>
      <w:pPr>
        <w:adjustRightInd w:val="0"/>
        <w:snapToGrid w:val="0"/>
        <w:spacing w:line="360" w:lineRule="auto"/>
        <w:ind w:firstLine="420" w:firstLineChars="200"/>
        <w:rPr>
          <w:rFonts w:ascii="宋体" w:hAnsi="宋体" w:cs="宋体"/>
        </w:rPr>
      </w:pPr>
      <w:r>
        <w:rPr>
          <w:rFonts w:hint="eastAsia" w:ascii="宋体" w:hAnsi="宋体" w:cs="宋体"/>
        </w:rPr>
        <w:t>3.方式：现场领购，咨询电话：0519-83311666（13776848852）</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4.售价：</w:t>
      </w:r>
      <w:r>
        <w:rPr>
          <w:rFonts w:hint="eastAsia" w:ascii="宋体" w:hAnsi="宋体" w:cs="宋体"/>
          <w:b/>
          <w:kern w:val="0"/>
          <w:szCs w:val="21"/>
        </w:rPr>
        <w:t>人民币伍佰元整</w:t>
      </w:r>
    </w:p>
    <w:p>
      <w:pPr>
        <w:adjustRightInd w:val="0"/>
        <w:snapToGrid w:val="0"/>
        <w:spacing w:line="360" w:lineRule="auto"/>
        <w:ind w:firstLine="422" w:firstLineChars="200"/>
        <w:rPr>
          <w:rFonts w:ascii="宋体" w:hAnsi="宋体" w:cs="宋体"/>
          <w:b/>
        </w:rPr>
      </w:pPr>
      <w:r>
        <w:rPr>
          <w:rFonts w:hint="eastAsia" w:ascii="宋体" w:hAnsi="宋体" w:cs="宋体"/>
          <w:b/>
        </w:rPr>
        <w:t>四、响应文件提交</w:t>
      </w:r>
    </w:p>
    <w:p>
      <w:pPr>
        <w:adjustRightInd w:val="0"/>
        <w:snapToGrid w:val="0"/>
        <w:spacing w:line="360" w:lineRule="auto"/>
        <w:ind w:firstLine="420" w:firstLineChars="200"/>
        <w:rPr>
          <w:rFonts w:ascii="宋体" w:hAnsi="宋体" w:cs="宋体"/>
        </w:rPr>
      </w:pPr>
      <w:r>
        <w:rPr>
          <w:rFonts w:hint="eastAsia" w:ascii="宋体" w:hAnsi="宋体" w:cs="宋体"/>
        </w:rPr>
        <w:t>截止时间：2022年11月9日14点00分（北京时间）</w:t>
      </w:r>
    </w:p>
    <w:p>
      <w:pPr>
        <w:adjustRightInd w:val="0"/>
        <w:snapToGrid w:val="0"/>
        <w:spacing w:line="360" w:lineRule="auto"/>
        <w:ind w:firstLine="420" w:firstLineChars="200"/>
        <w:rPr>
          <w:rFonts w:ascii="宋体" w:hAnsi="宋体" w:cs="宋体"/>
          <w:bCs/>
        </w:rPr>
      </w:pPr>
      <w:r>
        <w:rPr>
          <w:rFonts w:hint="eastAsia" w:ascii="宋体" w:hAnsi="宋体" w:cs="宋体"/>
        </w:rPr>
        <w:t>地点：江苏畅誉项目管理有限公司（常州市天宁区弘智路7号）</w:t>
      </w:r>
    </w:p>
    <w:p>
      <w:pPr>
        <w:adjustRightInd w:val="0"/>
        <w:snapToGrid w:val="0"/>
        <w:spacing w:line="360" w:lineRule="auto"/>
        <w:ind w:firstLine="422" w:firstLineChars="200"/>
        <w:rPr>
          <w:rFonts w:ascii="宋体" w:hAnsi="宋体" w:cs="宋体"/>
          <w:b/>
        </w:rPr>
      </w:pPr>
      <w:r>
        <w:rPr>
          <w:rFonts w:hint="eastAsia" w:ascii="宋体" w:hAnsi="宋体" w:cs="宋体"/>
          <w:b/>
        </w:rPr>
        <w:t>五、开启</w:t>
      </w:r>
    </w:p>
    <w:p>
      <w:pPr>
        <w:adjustRightInd w:val="0"/>
        <w:snapToGrid w:val="0"/>
        <w:spacing w:line="360" w:lineRule="auto"/>
        <w:ind w:firstLine="420" w:firstLineChars="200"/>
        <w:rPr>
          <w:rFonts w:ascii="宋体" w:hAnsi="宋体" w:cs="宋体"/>
        </w:rPr>
      </w:pPr>
      <w:r>
        <w:rPr>
          <w:rFonts w:hint="eastAsia" w:ascii="宋体" w:hAnsi="宋体" w:cs="宋体"/>
        </w:rPr>
        <w:t>时间：202</w:t>
      </w:r>
      <w:r>
        <w:rPr>
          <w:rFonts w:ascii="宋体" w:hAnsi="宋体" w:cs="宋体"/>
        </w:rPr>
        <w:t>2</w:t>
      </w:r>
      <w:r>
        <w:rPr>
          <w:rFonts w:hint="eastAsia" w:ascii="宋体" w:hAnsi="宋体" w:cs="宋体"/>
        </w:rPr>
        <w:t>年11月9日14点00分（北京时间）</w:t>
      </w:r>
    </w:p>
    <w:p>
      <w:pPr>
        <w:adjustRightInd w:val="0"/>
        <w:snapToGrid w:val="0"/>
        <w:spacing w:line="360" w:lineRule="auto"/>
        <w:ind w:firstLine="420" w:firstLineChars="200"/>
        <w:rPr>
          <w:rFonts w:ascii="宋体" w:hAnsi="宋体" w:cs="宋体"/>
          <w:bCs/>
        </w:rPr>
      </w:pPr>
      <w:r>
        <w:rPr>
          <w:rFonts w:hint="eastAsia" w:ascii="宋体" w:hAnsi="宋体" w:cs="宋体"/>
        </w:rPr>
        <w:t>地点：江苏畅誉项目管理有限公司（常州市天宁区弘智路7号）</w:t>
      </w:r>
    </w:p>
    <w:p>
      <w:pPr>
        <w:adjustRightInd w:val="0"/>
        <w:snapToGrid w:val="0"/>
        <w:spacing w:line="360" w:lineRule="auto"/>
        <w:ind w:firstLine="422" w:firstLineChars="200"/>
        <w:rPr>
          <w:rFonts w:ascii="宋体" w:hAnsi="宋体" w:cs="宋体"/>
          <w:b/>
        </w:rPr>
      </w:pPr>
      <w:r>
        <w:rPr>
          <w:rFonts w:hint="eastAsia" w:ascii="宋体" w:hAnsi="宋体" w:cs="宋体"/>
          <w:b/>
        </w:rPr>
        <w:t>六、公告期限</w:t>
      </w:r>
    </w:p>
    <w:p>
      <w:pPr>
        <w:adjustRightInd w:val="0"/>
        <w:snapToGrid w:val="0"/>
        <w:spacing w:line="360" w:lineRule="auto"/>
        <w:ind w:firstLine="420" w:firstLineChars="200"/>
        <w:rPr>
          <w:rFonts w:ascii="宋体" w:hAnsi="宋体" w:cs="宋体"/>
        </w:rPr>
      </w:pPr>
      <w:r>
        <w:rPr>
          <w:rFonts w:hint="eastAsia" w:ascii="宋体" w:hAnsi="宋体" w:cs="宋体"/>
        </w:rPr>
        <w:t>自本公告发布之日起5个工作日。</w:t>
      </w:r>
    </w:p>
    <w:p>
      <w:pPr>
        <w:adjustRightInd w:val="0"/>
        <w:snapToGrid w:val="0"/>
        <w:spacing w:line="360" w:lineRule="auto"/>
        <w:ind w:firstLine="422" w:firstLineChars="200"/>
        <w:rPr>
          <w:rFonts w:ascii="宋体" w:hAnsi="宋体" w:cs="宋体"/>
          <w:b/>
        </w:rPr>
      </w:pPr>
      <w:r>
        <w:rPr>
          <w:rFonts w:hint="eastAsia" w:ascii="宋体" w:hAnsi="宋体" w:cs="宋体"/>
          <w:b/>
        </w:rPr>
        <w:t>七、其他补充事宜</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1.现场踏勘及标前答疑</w:t>
      </w:r>
    </w:p>
    <w:p>
      <w:pPr>
        <w:adjustRightInd w:val="0"/>
        <w:snapToGrid w:val="0"/>
        <w:spacing w:line="360" w:lineRule="auto"/>
        <w:ind w:firstLine="420" w:firstLineChars="200"/>
        <w:rPr>
          <w:rFonts w:ascii="宋体" w:hAnsi="宋体" w:cs="宋体"/>
          <w:bCs/>
          <w:szCs w:val="21"/>
        </w:rPr>
      </w:pPr>
      <w:r>
        <w:rPr>
          <w:rFonts w:hint="eastAsia" w:ascii="宋体" w:hAnsi="宋体" w:cs="宋体"/>
          <w:bCs/>
          <w:szCs w:val="21"/>
        </w:rPr>
        <w:t>（1）供应商自行踏勘现场。</w:t>
      </w:r>
    </w:p>
    <w:p>
      <w:pPr>
        <w:adjustRightInd w:val="0"/>
        <w:snapToGrid w:val="0"/>
        <w:spacing w:line="360" w:lineRule="auto"/>
        <w:ind w:firstLine="420" w:firstLineChars="200"/>
        <w:rPr>
          <w:rFonts w:ascii="宋体" w:hAnsi="宋体" w:cs="宋体"/>
          <w:szCs w:val="21"/>
        </w:rPr>
      </w:pPr>
      <w:r>
        <w:rPr>
          <w:rFonts w:hint="eastAsia" w:ascii="宋体" w:hAnsi="宋体" w:cs="宋体"/>
          <w:bCs/>
          <w:szCs w:val="21"/>
        </w:rPr>
        <w:t>（2）</w:t>
      </w:r>
      <w:r>
        <w:rPr>
          <w:rFonts w:hint="eastAsia" w:ascii="宋体" w:hAnsi="宋体" w:cs="宋体"/>
          <w:szCs w:val="21"/>
        </w:rPr>
        <w:t>标前答疑</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供应商对竞争性磋商文件如有疑问，请将疑问于</w:t>
      </w:r>
      <w:r>
        <w:rPr>
          <w:rFonts w:hint="eastAsia" w:ascii="宋体" w:hAnsi="宋体" w:cs="宋体"/>
          <w:b/>
          <w:bCs/>
          <w:szCs w:val="21"/>
        </w:rPr>
        <w:t>2022</w:t>
      </w:r>
      <w:r>
        <w:rPr>
          <w:rFonts w:hint="eastAsia" w:ascii="宋体" w:hAnsi="宋体" w:cs="宋体"/>
          <w:b/>
          <w:bCs/>
          <w:kern w:val="0"/>
          <w:szCs w:val="21"/>
        </w:rPr>
        <w:t>年</w:t>
      </w:r>
      <w:r>
        <w:rPr>
          <w:rFonts w:hint="eastAsia" w:ascii="宋体" w:hAnsi="宋体" w:cs="宋体"/>
          <w:b/>
          <w:bCs/>
          <w:kern w:val="0"/>
          <w:szCs w:val="21"/>
          <w:highlight w:val="green"/>
        </w:rPr>
        <w:t xml:space="preserve"> 11 </w:t>
      </w:r>
      <w:r>
        <w:rPr>
          <w:rFonts w:hint="eastAsia" w:ascii="宋体" w:hAnsi="宋体" w:cs="宋体"/>
          <w:b/>
          <w:bCs/>
          <w:kern w:val="0"/>
          <w:szCs w:val="21"/>
        </w:rPr>
        <w:t xml:space="preserve">月 </w:t>
      </w:r>
      <w:r>
        <w:rPr>
          <w:rFonts w:hint="eastAsia" w:ascii="宋体" w:hAnsi="宋体" w:cs="宋体"/>
          <w:b/>
          <w:bCs/>
          <w:kern w:val="0"/>
          <w:szCs w:val="21"/>
          <w:highlight w:val="green"/>
        </w:rPr>
        <w:t xml:space="preserve"> 6 </w:t>
      </w:r>
      <w:r>
        <w:rPr>
          <w:rFonts w:hint="eastAsia" w:ascii="宋体" w:hAnsi="宋体" w:cs="宋体"/>
          <w:b/>
          <w:bCs/>
          <w:kern w:val="0"/>
          <w:szCs w:val="21"/>
        </w:rPr>
        <w:t>日11</w:t>
      </w:r>
      <w:r>
        <w:rPr>
          <w:rFonts w:hint="eastAsia" w:ascii="宋体" w:hAnsi="宋体" w:cs="宋体"/>
          <w:b/>
          <w:bCs/>
          <w:szCs w:val="21"/>
        </w:rPr>
        <w:t>点00分（北京时间）</w:t>
      </w:r>
      <w:r>
        <w:rPr>
          <w:rFonts w:hint="eastAsia" w:ascii="宋体" w:hAnsi="宋体" w:cs="宋体"/>
          <w:szCs w:val="21"/>
        </w:rPr>
        <w:t>前以书面形式提交或传真至江苏畅誉项目管理有限公司。传真：0519-</w:t>
      </w:r>
      <w:r>
        <w:rPr>
          <w:rFonts w:hint="eastAsia" w:ascii="宋体" w:hAnsi="宋体" w:cs="宋体"/>
        </w:rPr>
        <w:t>83311666</w:t>
      </w:r>
      <w:r>
        <w:rPr>
          <w:rFonts w:hint="eastAsia" w:ascii="宋体" w:hAnsi="宋体" w:cs="宋体"/>
          <w:szCs w:val="21"/>
        </w:rPr>
        <w:t>；邮箱：824676709@qq.com</w:t>
      </w:r>
    </w:p>
    <w:p>
      <w:pPr>
        <w:pStyle w:val="10"/>
      </w:pP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2.磋商保证金</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本项目免收磋商保证金</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3.江苏畅誉项目管理有限公司账户</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收款单位：江苏畅誉项目管理有限公司</w:t>
      </w:r>
    </w:p>
    <w:p>
      <w:pPr>
        <w:spacing w:line="420" w:lineRule="exact"/>
        <w:ind w:firstLine="420" w:firstLineChars="200"/>
        <w:rPr>
          <w:rFonts w:ascii="宋体" w:hAnsi="宋体" w:cs="宋体"/>
          <w:color w:val="000000"/>
          <w:szCs w:val="21"/>
        </w:rPr>
      </w:pPr>
      <w:r>
        <w:rPr>
          <w:rFonts w:hint="eastAsia" w:ascii="宋体" w:hAnsi="宋体" w:cs="宋体"/>
        </w:rPr>
        <w:t>开户银行：</w:t>
      </w:r>
      <w:r>
        <w:rPr>
          <w:rFonts w:hint="eastAsia" w:ascii="宋体" w:hAnsi="宋体" w:cs="宋体"/>
          <w:color w:val="000000"/>
          <w:szCs w:val="21"/>
        </w:rPr>
        <w:t>江苏江南农村商业银行股份有限公司常州市东青支行</w:t>
      </w:r>
    </w:p>
    <w:p>
      <w:pPr>
        <w:spacing w:line="420" w:lineRule="exact"/>
        <w:ind w:firstLine="420" w:firstLineChars="200"/>
        <w:rPr>
          <w:rFonts w:ascii="宋体" w:hAnsi="宋体" w:cs="宋体"/>
          <w:color w:val="000000"/>
          <w:szCs w:val="21"/>
        </w:rPr>
      </w:pPr>
      <w:r>
        <w:rPr>
          <w:rFonts w:hint="eastAsia" w:ascii="宋体" w:hAnsi="宋体" w:cs="宋体"/>
          <w:szCs w:val="21"/>
        </w:rPr>
        <w:t>银行账号：</w:t>
      </w:r>
      <w:r>
        <w:rPr>
          <w:rFonts w:hint="eastAsia" w:ascii="宋体" w:hAnsi="宋体" w:cs="宋体"/>
          <w:color w:val="000000"/>
          <w:szCs w:val="21"/>
        </w:rPr>
        <w:t xml:space="preserve">1079400000009982 </w:t>
      </w:r>
    </w:p>
    <w:p>
      <w:pPr>
        <w:adjustRightInd w:val="0"/>
        <w:snapToGrid w:val="0"/>
        <w:spacing w:line="360" w:lineRule="auto"/>
        <w:ind w:firstLine="420" w:firstLineChars="200"/>
        <w:rPr>
          <w:rFonts w:ascii="宋体" w:hAnsi="宋体" w:cs="宋体"/>
        </w:rPr>
      </w:pPr>
    </w:p>
    <w:p>
      <w:pPr>
        <w:adjustRightInd w:val="0"/>
        <w:snapToGrid w:val="0"/>
        <w:spacing w:line="360" w:lineRule="auto"/>
        <w:ind w:firstLine="422" w:firstLineChars="200"/>
        <w:rPr>
          <w:rFonts w:ascii="宋体" w:hAnsi="宋体" w:cs="宋体"/>
          <w:b/>
          <w:bCs/>
          <w:szCs w:val="21"/>
        </w:rPr>
      </w:pPr>
      <w:r>
        <w:rPr>
          <w:rFonts w:hint="eastAsia" w:ascii="宋体" w:hAnsi="宋体" w:cs="宋体"/>
          <w:b/>
          <w:kern w:val="0"/>
          <w:szCs w:val="21"/>
        </w:rPr>
        <w:t>4.</w:t>
      </w:r>
      <w:r>
        <w:rPr>
          <w:rFonts w:hint="eastAsia" w:ascii="宋体" w:hAnsi="宋体" w:cs="宋体"/>
          <w:b/>
          <w:bCs/>
          <w:szCs w:val="21"/>
        </w:rPr>
        <w:t>竞争性磋商文件售后不退。供应商提交的磋商响应文件概不退还。一经领购，供应商不得更改单位名称。</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5.公告发布媒体：常州市政府采购网、江苏畅誉项目管理有限公司网站</w:t>
      </w:r>
    </w:p>
    <w:p>
      <w:pPr>
        <w:adjustRightInd w:val="0"/>
        <w:snapToGrid w:val="0"/>
        <w:spacing w:line="360" w:lineRule="auto"/>
        <w:ind w:firstLine="422" w:firstLineChars="200"/>
        <w:rPr>
          <w:rFonts w:ascii="宋体" w:hAnsi="宋体" w:cs="宋体"/>
          <w:b/>
          <w:kern w:val="0"/>
          <w:szCs w:val="21"/>
        </w:rPr>
      </w:pPr>
      <w:r>
        <w:rPr>
          <w:rFonts w:hint="eastAsia" w:ascii="宋体" w:hAnsi="宋体" w:cs="宋体"/>
          <w:b/>
          <w:bCs/>
          <w:szCs w:val="21"/>
        </w:rPr>
        <w:t>6.</w:t>
      </w:r>
      <w:r>
        <w:rPr>
          <w:rFonts w:hint="eastAsia" w:ascii="宋体" w:hAnsi="宋体" w:cs="宋体"/>
          <w:b/>
          <w:kern w:val="0"/>
          <w:szCs w:val="21"/>
        </w:rPr>
        <w:t>疫情防控措施</w:t>
      </w:r>
    </w:p>
    <w:p>
      <w:pPr>
        <w:adjustRightInd w:val="0"/>
        <w:snapToGrid w:val="0"/>
        <w:spacing w:line="360" w:lineRule="auto"/>
        <w:ind w:firstLine="420" w:firstLineChars="200"/>
        <w:rPr>
          <w:rFonts w:ascii="宋体" w:hAnsi="宋体" w:cs="宋体"/>
          <w:kern w:val="0"/>
          <w:szCs w:val="21"/>
        </w:rPr>
      </w:pPr>
      <w:r>
        <w:rPr>
          <w:rFonts w:hint="eastAsia" w:ascii="宋体" w:hAnsi="宋体" w:cs="宋体"/>
          <w:kern w:val="0"/>
          <w:szCs w:val="21"/>
        </w:rPr>
        <w:t>疫情期间参与采购活动的当事人应严格按照疫情期间管理要求，服从佩戴口罩、测量体温、健康信息登记等各项疫情防控规定。进场后请保持安全距离，分散等候，不得扎堆聚集，事完即走。自觉服从引导人员的指挥和管理。对于参与磋商活动的供应商，应事先下载、填写《疫情期间参与采购活动开评标人员健康信息登记表》（</w:t>
      </w:r>
      <w:r>
        <w:rPr>
          <w:rFonts w:hint="eastAsia" w:ascii="宋体" w:hAnsi="宋体" w:cs="宋体"/>
          <w:szCs w:val="21"/>
        </w:rPr>
        <w:t>下载链接：</w:t>
      </w:r>
      <w:r>
        <w:fldChar w:fldCharType="begin"/>
      </w:r>
      <w:r>
        <w:instrText xml:space="preserve"> HYPERLINK "http://www.jschangyu.com/" </w:instrText>
      </w:r>
      <w:r>
        <w:fldChar w:fldCharType="separate"/>
      </w:r>
      <w:r>
        <w:rPr>
          <w:rFonts w:hint="eastAsia" w:ascii="宋体" w:hAnsi="宋体" w:cs="宋体"/>
          <w:kern w:val="0"/>
          <w:szCs w:val="21"/>
        </w:rPr>
        <w:t>江苏畅誉项目管理有限公司 (jschangyu.com)</w:t>
      </w:r>
      <w:r>
        <w:rPr>
          <w:rFonts w:hint="eastAsia" w:ascii="宋体" w:hAnsi="宋体" w:cs="宋体"/>
          <w:kern w:val="0"/>
          <w:szCs w:val="21"/>
        </w:rPr>
        <w:fldChar w:fldCharType="end"/>
      </w:r>
      <w:r>
        <w:rPr>
          <w:rFonts w:hint="eastAsia" w:ascii="宋体" w:hAnsi="宋体" w:cs="宋体"/>
          <w:kern w:val="0"/>
          <w:szCs w:val="21"/>
        </w:rPr>
        <w:t>相关项目公告附件），并如实填写登记表相关内容并加盖单位公章。在进入公司时，请凭《疫情期间参与采购活动开评标人员健康信息登记表》和本人身份证原件至指定开评标场所。</w:t>
      </w:r>
    </w:p>
    <w:p>
      <w:pPr>
        <w:adjustRightInd w:val="0"/>
        <w:snapToGrid w:val="0"/>
        <w:spacing w:line="360" w:lineRule="auto"/>
        <w:ind w:firstLine="422" w:firstLineChars="200"/>
        <w:rPr>
          <w:rFonts w:ascii="宋体" w:hAnsi="宋体" w:cs="宋体"/>
          <w:b/>
        </w:rPr>
      </w:pPr>
      <w:r>
        <w:rPr>
          <w:rFonts w:hint="eastAsia" w:ascii="宋体" w:hAnsi="宋体" w:cs="宋体"/>
          <w:b/>
        </w:rPr>
        <w:t>八、凡对本次采购提出询问，请按以下方式联系。</w:t>
      </w:r>
    </w:p>
    <w:p>
      <w:pPr>
        <w:adjustRightInd w:val="0"/>
        <w:snapToGrid w:val="0"/>
        <w:spacing w:line="360" w:lineRule="auto"/>
        <w:ind w:firstLine="420" w:firstLineChars="200"/>
        <w:rPr>
          <w:rFonts w:ascii="宋体" w:hAnsi="宋体" w:cs="宋体"/>
        </w:rPr>
      </w:pPr>
      <w:r>
        <w:rPr>
          <w:rFonts w:hint="eastAsia" w:ascii="宋体" w:hAnsi="宋体" w:cs="宋体"/>
        </w:rPr>
        <w:t>1.采购人信息</w:t>
      </w:r>
    </w:p>
    <w:p>
      <w:pPr>
        <w:adjustRightInd w:val="0"/>
        <w:snapToGrid w:val="0"/>
        <w:spacing w:line="360" w:lineRule="auto"/>
        <w:ind w:firstLine="420" w:firstLineChars="200"/>
        <w:rPr>
          <w:rFonts w:ascii="宋体" w:hAnsi="宋体" w:cs="宋体"/>
        </w:rPr>
      </w:pPr>
      <w:r>
        <w:rPr>
          <w:rFonts w:hint="eastAsia" w:ascii="宋体" w:hAnsi="宋体" w:cs="宋体"/>
        </w:rPr>
        <w:t>名    称：常州市天宁区住房和城乡建设局</w:t>
      </w:r>
    </w:p>
    <w:p>
      <w:pPr>
        <w:adjustRightInd w:val="0"/>
        <w:snapToGrid w:val="0"/>
        <w:spacing w:line="360" w:lineRule="auto"/>
        <w:ind w:firstLine="420" w:firstLineChars="200"/>
        <w:rPr>
          <w:rFonts w:ascii="宋体" w:hAnsi="宋体" w:cs="宋体"/>
        </w:rPr>
      </w:pPr>
      <w:r>
        <w:rPr>
          <w:rFonts w:hint="eastAsia" w:ascii="宋体" w:hAnsi="宋体" w:cs="宋体"/>
        </w:rPr>
        <w:t>地    址：常州市天宁区竹林北路256号</w:t>
      </w:r>
    </w:p>
    <w:p>
      <w:pPr>
        <w:adjustRightInd w:val="0"/>
        <w:snapToGrid w:val="0"/>
        <w:spacing w:line="360" w:lineRule="auto"/>
        <w:ind w:firstLine="420" w:firstLineChars="200"/>
        <w:rPr>
          <w:rFonts w:ascii="宋体" w:hAnsi="宋体" w:cs="宋体"/>
        </w:rPr>
      </w:pPr>
      <w:r>
        <w:rPr>
          <w:rFonts w:hint="eastAsia" w:ascii="宋体" w:hAnsi="宋体" w:cs="宋体"/>
        </w:rPr>
        <w:t>联系方式：杨小姐 0519-69660861</w:t>
      </w:r>
    </w:p>
    <w:p>
      <w:pPr>
        <w:adjustRightInd w:val="0"/>
        <w:snapToGrid w:val="0"/>
        <w:spacing w:line="360" w:lineRule="auto"/>
        <w:ind w:firstLine="420" w:firstLineChars="200"/>
        <w:rPr>
          <w:rFonts w:ascii="宋体" w:hAnsi="宋体" w:cs="宋体"/>
        </w:rPr>
      </w:pPr>
      <w:r>
        <w:rPr>
          <w:rFonts w:hint="eastAsia" w:ascii="宋体" w:hAnsi="宋体" w:cs="宋体"/>
        </w:rPr>
        <w:t>2.采购代理机构信息</w:t>
      </w:r>
    </w:p>
    <w:p>
      <w:pPr>
        <w:adjustRightInd w:val="0"/>
        <w:snapToGrid w:val="0"/>
        <w:spacing w:line="360" w:lineRule="auto"/>
        <w:ind w:firstLine="420" w:firstLineChars="200"/>
        <w:rPr>
          <w:rFonts w:ascii="宋体" w:hAnsi="宋体" w:cs="宋体"/>
        </w:rPr>
      </w:pPr>
      <w:r>
        <w:rPr>
          <w:rFonts w:hint="eastAsia" w:ascii="宋体" w:hAnsi="宋体" w:cs="宋体"/>
        </w:rPr>
        <w:t>名    称：江苏畅誉项目管理有限公司</w:t>
      </w:r>
    </w:p>
    <w:p>
      <w:pPr>
        <w:adjustRightInd w:val="0"/>
        <w:snapToGrid w:val="0"/>
        <w:spacing w:line="360" w:lineRule="auto"/>
        <w:ind w:firstLine="420" w:firstLineChars="200"/>
        <w:rPr>
          <w:rFonts w:ascii="宋体" w:hAnsi="宋体" w:cs="宋体"/>
        </w:rPr>
      </w:pPr>
      <w:r>
        <w:rPr>
          <w:rFonts w:hint="eastAsia" w:ascii="宋体" w:hAnsi="宋体" w:cs="宋体"/>
        </w:rPr>
        <w:t>地　　址：常州市天宁区弘智路7号</w:t>
      </w:r>
    </w:p>
    <w:p>
      <w:pPr>
        <w:adjustRightInd w:val="0"/>
        <w:snapToGrid w:val="0"/>
        <w:spacing w:line="360" w:lineRule="auto"/>
        <w:ind w:firstLine="420" w:firstLineChars="200"/>
        <w:rPr>
          <w:rFonts w:ascii="宋体" w:hAnsi="宋体" w:cs="宋体"/>
          <w:szCs w:val="21"/>
        </w:rPr>
      </w:pPr>
      <w:r>
        <w:rPr>
          <w:rFonts w:hint="eastAsia" w:ascii="宋体" w:hAnsi="宋体" w:cs="宋体"/>
        </w:rPr>
        <w:t>联系方式：</w:t>
      </w:r>
      <w:r>
        <w:rPr>
          <w:rFonts w:hint="eastAsia" w:ascii="宋体" w:hAnsi="宋体" w:cs="宋体"/>
          <w:szCs w:val="21"/>
        </w:rPr>
        <w:t>0519-</w:t>
      </w:r>
      <w:r>
        <w:rPr>
          <w:rFonts w:hint="eastAsia" w:ascii="宋体" w:hAnsi="宋体" w:cs="宋体"/>
        </w:rPr>
        <w:t>83311666</w:t>
      </w:r>
    </w:p>
    <w:p>
      <w:pPr>
        <w:adjustRightInd w:val="0"/>
        <w:snapToGrid w:val="0"/>
        <w:spacing w:line="360" w:lineRule="auto"/>
        <w:ind w:firstLine="420" w:firstLineChars="200"/>
        <w:rPr>
          <w:rFonts w:ascii="宋体" w:hAnsi="宋体" w:cs="宋体"/>
        </w:rPr>
      </w:pPr>
      <w:r>
        <w:rPr>
          <w:rFonts w:hint="eastAsia" w:ascii="宋体" w:hAnsi="宋体" w:cs="宋体"/>
        </w:rPr>
        <w:t>3.项目联系方式</w:t>
      </w:r>
    </w:p>
    <w:p>
      <w:pPr>
        <w:adjustRightInd w:val="0"/>
        <w:snapToGrid w:val="0"/>
        <w:spacing w:line="360" w:lineRule="auto"/>
        <w:ind w:firstLine="420" w:firstLineChars="200"/>
        <w:rPr>
          <w:rFonts w:ascii="宋体" w:hAnsi="宋体" w:cs="宋体"/>
        </w:rPr>
      </w:pPr>
      <w:r>
        <w:rPr>
          <w:rFonts w:hint="eastAsia" w:ascii="宋体" w:hAnsi="宋体" w:cs="宋体"/>
        </w:rPr>
        <w:t>项目联系人：张 工</w:t>
      </w:r>
    </w:p>
    <w:p>
      <w:pPr>
        <w:adjustRightInd w:val="0"/>
        <w:snapToGrid w:val="0"/>
        <w:spacing w:line="360" w:lineRule="auto"/>
        <w:ind w:firstLine="420" w:firstLineChars="200"/>
        <w:rPr>
          <w:rFonts w:ascii="宋体" w:hAnsi="宋体" w:cs="宋体"/>
        </w:rPr>
      </w:pPr>
      <w:r>
        <w:rPr>
          <w:rFonts w:hint="eastAsia" w:ascii="宋体" w:hAnsi="宋体" w:cs="宋体"/>
        </w:rPr>
        <w:t>电　　  话：</w:t>
      </w:r>
      <w:r>
        <w:rPr>
          <w:rFonts w:hint="eastAsia" w:ascii="宋体" w:hAnsi="宋体" w:cs="宋体"/>
          <w:szCs w:val="21"/>
        </w:rPr>
        <w:t>0519-</w:t>
      </w:r>
      <w:r>
        <w:rPr>
          <w:rFonts w:hint="eastAsia" w:ascii="宋体" w:hAnsi="宋体" w:cs="宋体"/>
        </w:rPr>
        <w:t>83311666　</w:t>
      </w:r>
    </w:p>
    <w:p>
      <w:pPr>
        <w:pStyle w:val="2"/>
        <w:rPr>
          <w:rFonts w:ascii="宋体" w:hAnsi="宋体" w:cs="宋体"/>
        </w:rPr>
      </w:pPr>
    </w:p>
    <w:p>
      <w:pPr>
        <w:pStyle w:val="2"/>
        <w:rPr>
          <w:rFonts w:ascii="宋体" w:hAnsi="宋体" w:cs="宋体"/>
        </w:rPr>
      </w:pPr>
    </w:p>
    <w:p>
      <w:pPr>
        <w:pStyle w:val="3"/>
        <w:spacing w:line="360" w:lineRule="auto"/>
        <w:rPr>
          <w:rFonts w:ascii="宋体" w:hAnsi="宋体" w:cs="宋体"/>
        </w:rPr>
      </w:pPr>
      <w:bookmarkStart w:id="1" w:name="_Toc17537927"/>
      <w:r>
        <w:rPr>
          <w:rFonts w:hint="eastAsia" w:ascii="宋体" w:hAnsi="宋体" w:cs="宋体"/>
        </w:rPr>
        <w:t>第一章  总     则</w:t>
      </w:r>
      <w:bookmarkEnd w:id="1"/>
    </w:p>
    <w:p>
      <w:pPr>
        <w:adjustRightInd w:val="0"/>
        <w:snapToGrid w:val="0"/>
        <w:spacing w:line="360" w:lineRule="auto"/>
        <w:rPr>
          <w:rFonts w:ascii="宋体" w:hAnsi="宋体" w:cs="宋体"/>
          <w:b/>
          <w:bCs/>
          <w:szCs w:val="21"/>
        </w:rPr>
      </w:pPr>
      <w:r>
        <w:rPr>
          <w:rFonts w:hint="eastAsia" w:ascii="宋体" w:hAnsi="宋体" w:cs="宋体"/>
          <w:b/>
          <w:bCs/>
          <w:szCs w:val="21"/>
        </w:rPr>
        <w:t>1.采购方式</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本项目采用竞争性磋商方式，本竞争性磋商文件仅适用于磋商公告中所述项目。</w:t>
      </w:r>
    </w:p>
    <w:p>
      <w:pPr>
        <w:adjustRightInd w:val="0"/>
        <w:snapToGrid w:val="0"/>
        <w:spacing w:line="360" w:lineRule="auto"/>
        <w:rPr>
          <w:rFonts w:ascii="宋体" w:hAnsi="宋体" w:cs="宋体"/>
          <w:szCs w:val="21"/>
        </w:rPr>
      </w:pPr>
      <w:r>
        <w:rPr>
          <w:rFonts w:hint="eastAsia" w:ascii="宋体" w:hAnsi="宋体" w:cs="宋体"/>
          <w:b/>
          <w:szCs w:val="21"/>
        </w:rPr>
        <w:t>2.合格的供应商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2.1 满足公告中供应商的资格要求的规定。</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2.2 满足本文件实质性条款的规定。</w:t>
      </w:r>
    </w:p>
    <w:p>
      <w:pPr>
        <w:adjustRightInd w:val="0"/>
        <w:snapToGrid w:val="0"/>
        <w:spacing w:line="360" w:lineRule="auto"/>
        <w:rPr>
          <w:rFonts w:ascii="宋体" w:hAnsi="宋体" w:cs="宋体"/>
          <w:szCs w:val="21"/>
        </w:rPr>
      </w:pPr>
      <w:r>
        <w:rPr>
          <w:rFonts w:hint="eastAsia" w:ascii="宋体" w:hAnsi="宋体" w:cs="宋体"/>
          <w:b/>
          <w:szCs w:val="21"/>
        </w:rPr>
        <w:t>3.磋商费用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参加磋商供应商应自行承担所有与参加磋商有关的费用。无论最终成交结果如何，采购代理机构在任何情况下均无义务和责任承担这些费用。</w:t>
      </w:r>
    </w:p>
    <w:p>
      <w:pPr>
        <w:adjustRightInd w:val="0"/>
        <w:snapToGrid w:val="0"/>
        <w:spacing w:line="360" w:lineRule="auto"/>
        <w:rPr>
          <w:rFonts w:ascii="宋体" w:hAnsi="宋体" w:cs="宋体"/>
          <w:b/>
          <w:szCs w:val="21"/>
        </w:rPr>
      </w:pPr>
      <w:r>
        <w:rPr>
          <w:rFonts w:hint="eastAsia" w:ascii="宋体" w:hAnsi="宋体" w:cs="宋体"/>
          <w:b/>
          <w:szCs w:val="21"/>
        </w:rPr>
        <w:t>4.竞争性磋商文件的组成</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本文件及依法对本文件所作的更正内容均为竞争性磋商文件的组成部分。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供应商应仔细检查竞争性磋商文件是否齐全，如有缺漏，立即与代理机构联系解决。</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供应商应认真阅读竞争性磋商文件中所有的事项、格式、条款和规范等要求。按竞争性磋商文件要求和规定编制磋商响应文件，并保证所提供的全部资料的真实性，以使其磋商响应文件对竞争性磋商文件作出实质性响应，否则其风险由供应商自行承担。</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供应商一旦参加本项目采购活动，即被认为接受了本竞争性磋商文件的规定和约束。</w:t>
      </w:r>
    </w:p>
    <w:p>
      <w:pPr>
        <w:adjustRightInd w:val="0"/>
        <w:snapToGrid w:val="0"/>
        <w:spacing w:line="360" w:lineRule="auto"/>
        <w:rPr>
          <w:rFonts w:ascii="宋体" w:hAnsi="宋体" w:cs="宋体"/>
          <w:b/>
          <w:color w:val="000000"/>
          <w:szCs w:val="21"/>
        </w:rPr>
      </w:pPr>
      <w:r>
        <w:rPr>
          <w:rFonts w:hint="eastAsia" w:ascii="宋体" w:hAnsi="宋体" w:cs="宋体"/>
          <w:b/>
          <w:color w:val="000000"/>
          <w:szCs w:val="21"/>
        </w:rPr>
        <w:t>5.竞争性磋商文件的补充、澄清、更正</w:t>
      </w:r>
    </w:p>
    <w:p>
      <w:pPr>
        <w:adjustRightInd w:val="0"/>
        <w:snapToGrid w:val="0"/>
        <w:spacing w:line="360" w:lineRule="auto"/>
        <w:ind w:firstLine="420"/>
        <w:rPr>
          <w:rFonts w:ascii="宋体" w:hAnsi="宋体" w:cs="宋体"/>
          <w:bCs/>
          <w:color w:val="000000"/>
          <w:szCs w:val="21"/>
        </w:rPr>
      </w:pPr>
      <w:r>
        <w:rPr>
          <w:rFonts w:hint="eastAsia" w:ascii="宋体" w:hAnsi="宋体" w:cs="宋体"/>
          <w:bCs/>
          <w:color w:val="000000"/>
          <w:szCs w:val="21"/>
        </w:rPr>
        <w:t>5.1 代理机构向供应商提供的有关资料和数据，是代理机构现有的能使供应商利用的资料。代理机构对供应商由此而作出的推论、理解和结论概不负责。供应商由于对竞争性磋商文件的任何推论和误解以及采购人对有关问题的口头解释所造成的后果，均由供应商自负。</w:t>
      </w:r>
    </w:p>
    <w:p>
      <w:pPr>
        <w:adjustRightInd w:val="0"/>
        <w:snapToGrid w:val="0"/>
        <w:spacing w:line="360" w:lineRule="auto"/>
        <w:ind w:firstLine="420"/>
        <w:rPr>
          <w:rFonts w:ascii="宋体" w:hAnsi="宋体" w:cs="宋体"/>
          <w:b/>
          <w:bCs/>
          <w:color w:val="000000"/>
          <w:szCs w:val="21"/>
        </w:rPr>
      </w:pPr>
      <w:r>
        <w:rPr>
          <w:rFonts w:hint="eastAsia" w:ascii="宋体" w:hAnsi="宋体" w:cs="宋体"/>
          <w:bCs/>
          <w:color w:val="000000"/>
          <w:szCs w:val="21"/>
        </w:rPr>
        <w:t>5.2 供应商提出的与磋商有关的任何问题须在收到竞争性磋商文件后，按规定时间以书面形式提交至采购代理机构，未以书面形式提出或逾期提出的异议将不被接受。</w:t>
      </w:r>
      <w:r>
        <w:rPr>
          <w:rFonts w:hint="eastAsia" w:ascii="宋体" w:hAnsi="宋体" w:cs="宋体"/>
          <w:szCs w:val="21"/>
        </w:rPr>
        <w:t>如无疑问，视作供应商完全响应竞争性磋商文件的条款和要求。</w:t>
      </w:r>
    </w:p>
    <w:p>
      <w:pPr>
        <w:adjustRightInd w:val="0"/>
        <w:snapToGrid w:val="0"/>
        <w:spacing w:line="360" w:lineRule="auto"/>
        <w:ind w:firstLine="420" w:firstLineChars="200"/>
        <w:rPr>
          <w:rFonts w:ascii="宋体" w:hAnsi="宋体" w:cs="宋体"/>
          <w:bCs/>
          <w:color w:val="000000"/>
          <w:szCs w:val="21"/>
        </w:rPr>
      </w:pPr>
      <w:r>
        <w:rPr>
          <w:rFonts w:hint="eastAsia" w:ascii="宋体" w:hAnsi="宋体" w:cs="宋体"/>
          <w:bCs/>
          <w:color w:val="000000"/>
          <w:szCs w:val="21"/>
        </w:rPr>
        <w:t>5.3 采购人及代理机构有权对已发出的竞争性磋商文件进行必要的澄清或更正。</w:t>
      </w:r>
    </w:p>
    <w:p>
      <w:pPr>
        <w:adjustRightInd w:val="0"/>
        <w:snapToGrid w:val="0"/>
        <w:spacing w:line="360" w:lineRule="auto"/>
        <w:ind w:firstLine="420" w:firstLineChars="200"/>
        <w:rPr>
          <w:rFonts w:ascii="宋体" w:hAnsi="宋体" w:cs="宋体"/>
          <w:bCs/>
          <w:color w:val="000000"/>
          <w:szCs w:val="21"/>
        </w:rPr>
      </w:pPr>
      <w:r>
        <w:rPr>
          <w:rFonts w:hint="eastAsia" w:ascii="宋体" w:hAnsi="宋体" w:cs="宋体"/>
          <w:bCs/>
          <w:color w:val="000000"/>
          <w:szCs w:val="21"/>
        </w:rPr>
        <w:t>5.4 采购人可视具体情况，延长磋商响应文件提交截止时间和磋商时间。</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5.5 所有有关</w:t>
      </w:r>
      <w:r>
        <w:rPr>
          <w:rFonts w:hint="eastAsia" w:ascii="宋体" w:hAnsi="宋体" w:cs="宋体"/>
          <w:b/>
          <w:szCs w:val="21"/>
        </w:rPr>
        <w:t>竞争性磋商文件的补充、澄清、更正将在原公告媒体上予以公告。上述内容将作为竞争性磋商文件的组成部分，并对供应商具有约束力，由供应商自行关注并获取。</w:t>
      </w:r>
    </w:p>
    <w:p>
      <w:pPr>
        <w:adjustRightInd w:val="0"/>
        <w:snapToGrid w:val="0"/>
        <w:spacing w:line="360" w:lineRule="auto"/>
        <w:rPr>
          <w:rFonts w:ascii="宋体" w:hAnsi="宋体" w:cs="宋体"/>
          <w:b/>
          <w:szCs w:val="21"/>
        </w:rPr>
      </w:pPr>
      <w:r>
        <w:rPr>
          <w:rFonts w:hint="eastAsia" w:ascii="宋体" w:hAnsi="宋体" w:cs="宋体"/>
          <w:b/>
          <w:szCs w:val="21"/>
        </w:rPr>
        <w:t>6.供应商的义务</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6.1 供应商应当认真阅读竞争性磋商文件，完全明了采购项目的内容。</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6.2 供应商应当按照竞争性磋商文件的要求编制磋商响应文件。磋商响应文件应对竞争性磋商文件提出的实质性要求和条件作出完全响应。</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6.3 供应商应在磋商响应文件提交截止时间前，将密封的磋商响应文件送达磋商地点。</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6.4 供应商不得相互串通磋商报价，不得排挤其他供应商的公平竞争，损害采购人或者其他供应商合法权益。供应商不得与采购人串通，损害国家利益，公众利益或者他人的合法权益。</w:t>
      </w:r>
    </w:p>
    <w:p>
      <w:pPr>
        <w:adjustRightInd w:val="0"/>
        <w:snapToGrid w:val="0"/>
        <w:spacing w:line="360" w:lineRule="auto"/>
        <w:rPr>
          <w:rFonts w:ascii="宋体" w:hAnsi="宋体" w:cs="宋体"/>
          <w:szCs w:val="21"/>
        </w:rPr>
      </w:pPr>
      <w:r>
        <w:rPr>
          <w:rFonts w:hint="eastAsia" w:ascii="宋体" w:hAnsi="宋体" w:cs="宋体"/>
          <w:b/>
          <w:szCs w:val="21"/>
        </w:rPr>
        <w:t>7.磋商报价</w:t>
      </w:r>
    </w:p>
    <w:p>
      <w:pPr>
        <w:tabs>
          <w:tab w:val="left" w:pos="284"/>
        </w:tabs>
        <w:adjustRightInd w:val="0"/>
        <w:snapToGrid w:val="0"/>
        <w:spacing w:line="360" w:lineRule="auto"/>
        <w:ind w:firstLine="420" w:firstLineChars="200"/>
        <w:rPr>
          <w:rFonts w:ascii="宋体" w:hAnsi="宋体" w:cs="宋体"/>
          <w:color w:val="FF0000"/>
          <w:szCs w:val="21"/>
        </w:rPr>
      </w:pPr>
      <w:r>
        <w:rPr>
          <w:rFonts w:hint="eastAsia" w:ascii="宋体" w:hAnsi="宋体" w:cs="宋体"/>
          <w:color w:val="000000"/>
          <w:szCs w:val="21"/>
        </w:rPr>
        <w:t>7.1 本项目磋商总价应包括为完成该项服务项目所涉及到的一切相关费用，采购人不再支付其他任何费用。</w:t>
      </w:r>
    </w:p>
    <w:p>
      <w:pPr>
        <w:tabs>
          <w:tab w:val="left" w:pos="284"/>
        </w:tabs>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7.2 磋商报价方式</w:t>
      </w:r>
    </w:p>
    <w:p>
      <w:pPr>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7.2.1 供应商应按照竞争性磋商文件中提供的格式完整填写报价一览表。报价一览表中的报价应与磋商分项报价表的总价完全一致，如有不一致的，以报价一览表的报价为准。</w:t>
      </w:r>
    </w:p>
    <w:p>
      <w:pPr>
        <w:adjustRightInd w:val="0"/>
        <w:snapToGrid w:val="0"/>
        <w:spacing w:line="360" w:lineRule="auto"/>
        <w:ind w:firstLine="420" w:firstLineChars="200"/>
        <w:rPr>
          <w:rFonts w:ascii="宋体" w:hAnsi="宋体" w:cs="宋体"/>
          <w:color w:val="000000"/>
          <w:szCs w:val="21"/>
        </w:rPr>
      </w:pPr>
      <w:r>
        <w:rPr>
          <w:rFonts w:hint="eastAsia" w:ascii="宋体" w:hAnsi="宋体" w:cs="宋体"/>
          <w:color w:val="000000"/>
          <w:szCs w:val="21"/>
        </w:rPr>
        <w:t>供应商填报磋商分项报价表时，每一单项均应计算并填写单价和总价，该表由法定代表人或代理人签署。供应商未填单价或合价的项目，在实施后，采购人将不予支付，并视为该项费用已包括在其它有价款的单价或合价内。一项磋商内容只允许一个报价，不接受任何有选择性的磋商报价。</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7.2.2 报价货币为人民币，评审时以人民币为准。</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7.2.3 磋商报价高于最高限价的作为无效响应处理。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7.2.4 磋商报价次数：</w:t>
      </w:r>
      <w:r>
        <w:rPr>
          <w:rFonts w:hint="eastAsia" w:ascii="宋体" w:hAnsi="宋体" w:cs="宋体"/>
          <w:b/>
          <w:szCs w:val="21"/>
        </w:rPr>
        <w:t>本项目采用至少二次报价，</w:t>
      </w:r>
      <w:r>
        <w:rPr>
          <w:rFonts w:hint="eastAsia" w:ascii="宋体" w:hAnsi="宋体" w:cs="宋体"/>
          <w:szCs w:val="21"/>
        </w:rPr>
        <w:t>磋商响应文件报价一览表的报价作为首次报价，在磋商结束后，磋商小组应当要求所有实质性响应的供应商在规定时间内提交最后报价，最后报价作为评分依据。</w:t>
      </w:r>
    </w:p>
    <w:p>
      <w:pPr>
        <w:adjustRightInd w:val="0"/>
        <w:snapToGrid w:val="0"/>
        <w:spacing w:line="360" w:lineRule="auto"/>
        <w:rPr>
          <w:rFonts w:ascii="宋体" w:hAnsi="宋体" w:cs="宋体"/>
          <w:szCs w:val="21"/>
        </w:rPr>
      </w:pPr>
      <w:r>
        <w:rPr>
          <w:rFonts w:hint="eastAsia" w:ascii="宋体" w:hAnsi="宋体" w:cs="宋体"/>
          <w:b/>
          <w:szCs w:val="21"/>
        </w:rPr>
        <w:t>8.磋商响应文件的组成</w:t>
      </w:r>
    </w:p>
    <w:p>
      <w:pPr>
        <w:adjustRightInd w:val="0"/>
        <w:snapToGrid w:val="0"/>
        <w:spacing w:line="360" w:lineRule="auto"/>
        <w:ind w:firstLine="420" w:firstLineChars="200"/>
        <w:rPr>
          <w:rFonts w:ascii="宋体" w:hAnsi="宋体" w:cs="宋体"/>
          <w:bCs/>
          <w:szCs w:val="21"/>
        </w:rPr>
      </w:pPr>
      <w:r>
        <w:rPr>
          <w:rFonts w:hint="eastAsia" w:ascii="宋体" w:hAnsi="宋体" w:cs="宋体"/>
          <w:szCs w:val="21"/>
        </w:rPr>
        <w:t>详见第五章《磋商响应文件的组成》。</w:t>
      </w:r>
    </w:p>
    <w:p>
      <w:pPr>
        <w:adjustRightInd w:val="0"/>
        <w:snapToGrid w:val="0"/>
        <w:spacing w:line="360" w:lineRule="auto"/>
        <w:rPr>
          <w:rFonts w:ascii="宋体" w:hAnsi="宋体" w:cs="宋体"/>
          <w:b/>
          <w:szCs w:val="21"/>
        </w:rPr>
      </w:pPr>
      <w:r>
        <w:rPr>
          <w:rFonts w:hint="eastAsia" w:ascii="宋体" w:hAnsi="宋体" w:cs="宋体"/>
          <w:b/>
          <w:szCs w:val="21"/>
        </w:rPr>
        <w:t>9.磋商保证金</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本项目免收磋商保证金。</w:t>
      </w:r>
    </w:p>
    <w:p>
      <w:pPr>
        <w:adjustRightInd w:val="0"/>
        <w:snapToGrid w:val="0"/>
        <w:spacing w:line="360" w:lineRule="auto"/>
        <w:rPr>
          <w:rFonts w:ascii="宋体" w:hAnsi="宋体" w:cs="宋体"/>
          <w:szCs w:val="21"/>
        </w:rPr>
      </w:pPr>
      <w:r>
        <w:rPr>
          <w:rFonts w:hint="eastAsia" w:ascii="宋体" w:hAnsi="宋体" w:cs="宋体"/>
          <w:b/>
          <w:szCs w:val="21"/>
        </w:rPr>
        <w:t>10.磋商响应文件的制作</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10.l 供应商应提交</w:t>
      </w:r>
      <w:r>
        <w:rPr>
          <w:rFonts w:hint="eastAsia" w:ascii="宋体" w:hAnsi="宋体" w:cs="宋体"/>
          <w:b/>
          <w:szCs w:val="21"/>
          <w:u w:val="single"/>
        </w:rPr>
        <w:t>装订的磋商响应文件</w:t>
      </w:r>
      <w:r>
        <w:rPr>
          <w:rFonts w:hint="eastAsia" w:ascii="宋体" w:hAnsi="宋体" w:cs="宋体"/>
          <w:b/>
          <w:bCs/>
          <w:szCs w:val="21"/>
          <w:u w:val="single"/>
        </w:rPr>
        <w:t>壹份“正本”、贰份“副本”、壹份“电子文档”（载体采用“电子光盘”或“U盘”，内容包含全套正本磋商响应文件）</w:t>
      </w:r>
      <w:r>
        <w:rPr>
          <w:rFonts w:hint="eastAsia" w:ascii="宋体" w:hAnsi="宋体" w:cs="宋体"/>
          <w:b/>
          <w:szCs w:val="21"/>
          <w:u w:val="single"/>
        </w:rPr>
        <w:t>。</w:t>
      </w:r>
      <w:r>
        <w:rPr>
          <w:rFonts w:hint="eastAsia" w:ascii="宋体" w:hAnsi="宋体" w:cs="宋体"/>
          <w:szCs w:val="21"/>
        </w:rPr>
        <w:t>纸质版磋商响应文件正本和副本如有不一致之处，以纸质版正本为准。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10.2 磋商响应文件正本、副本必须全部是打印件。供应商应按照要求签字、盖章。</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10.3 磋商响应文件应无涂改和行间插字，供应商造成的必须修改的错误，修改处应由磋商响应文件法定代表人或授权委托人签字或盖章并加盖供应商公章，否则修改无效。</w:t>
      </w:r>
    </w:p>
    <w:p>
      <w:pPr>
        <w:adjustRightInd w:val="0"/>
        <w:snapToGrid w:val="0"/>
        <w:spacing w:line="360" w:lineRule="auto"/>
        <w:ind w:firstLine="420" w:firstLineChars="200"/>
        <w:rPr>
          <w:rFonts w:ascii="宋体" w:hAnsi="宋体" w:cs="宋体"/>
          <w:b/>
          <w:szCs w:val="21"/>
        </w:rPr>
      </w:pPr>
      <w:r>
        <w:rPr>
          <w:rFonts w:hint="eastAsia" w:ascii="宋体" w:hAnsi="宋体" w:cs="宋体"/>
          <w:szCs w:val="21"/>
        </w:rPr>
        <w:t xml:space="preserve">10.4 </w:t>
      </w:r>
      <w:r>
        <w:rPr>
          <w:rFonts w:hint="eastAsia" w:ascii="宋体" w:hAnsi="宋体" w:cs="宋体"/>
          <w:b/>
          <w:szCs w:val="21"/>
        </w:rPr>
        <w:t>本文件所表述（指定）的公章是指法定名称章，不包括合同专用章、业务专用章等印章；盖章是指加盖鲜章。</w:t>
      </w:r>
    </w:p>
    <w:p>
      <w:pPr>
        <w:adjustRightInd w:val="0"/>
        <w:snapToGrid w:val="0"/>
        <w:spacing w:line="360" w:lineRule="auto"/>
        <w:rPr>
          <w:rFonts w:ascii="宋体" w:hAnsi="宋体" w:cs="宋体"/>
          <w:b/>
          <w:szCs w:val="21"/>
        </w:rPr>
      </w:pPr>
      <w:r>
        <w:rPr>
          <w:rFonts w:hint="eastAsia" w:ascii="宋体" w:hAnsi="宋体" w:cs="宋体"/>
          <w:b/>
          <w:szCs w:val="21"/>
        </w:rPr>
        <w:t>11.磋商响应文件的有效期</w:t>
      </w:r>
    </w:p>
    <w:p>
      <w:pPr>
        <w:spacing w:line="360" w:lineRule="auto"/>
        <w:ind w:firstLine="420" w:firstLineChars="200"/>
        <w:rPr>
          <w:rFonts w:ascii="宋体" w:hAnsi="宋体" w:cs="宋体"/>
          <w:szCs w:val="21"/>
        </w:rPr>
      </w:pPr>
      <w:r>
        <w:rPr>
          <w:rFonts w:hint="eastAsia" w:ascii="宋体" w:hAnsi="宋体" w:cs="宋体"/>
          <w:szCs w:val="21"/>
        </w:rPr>
        <w:t>磋商响应文件有效期为规定的开标之日后</w:t>
      </w:r>
      <w:r>
        <w:rPr>
          <w:rFonts w:hint="eastAsia" w:ascii="宋体" w:hAnsi="宋体" w:cs="宋体"/>
          <w:b/>
          <w:szCs w:val="21"/>
          <w:u w:val="single"/>
        </w:rPr>
        <w:t>六十（60）天</w:t>
      </w:r>
      <w:r>
        <w:rPr>
          <w:rFonts w:hint="eastAsia" w:ascii="宋体" w:hAnsi="宋体" w:cs="宋体"/>
          <w:szCs w:val="21"/>
        </w:rPr>
        <w:t>。磋商响应文件有效期比规定短的将被视为无效响应而予以拒绝。</w:t>
      </w:r>
    </w:p>
    <w:p>
      <w:pPr>
        <w:adjustRightInd w:val="0"/>
        <w:snapToGrid w:val="0"/>
        <w:spacing w:line="360" w:lineRule="auto"/>
        <w:rPr>
          <w:rFonts w:ascii="宋体" w:hAnsi="宋体" w:cs="宋体"/>
          <w:szCs w:val="21"/>
        </w:rPr>
      </w:pPr>
      <w:r>
        <w:rPr>
          <w:rFonts w:hint="eastAsia" w:ascii="宋体" w:hAnsi="宋体" w:cs="宋体"/>
          <w:b/>
          <w:szCs w:val="21"/>
        </w:rPr>
        <w:t>12.磋商响应文件的密封</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磋商响应文件</w:t>
      </w:r>
      <w:r>
        <w:rPr>
          <w:rFonts w:hint="eastAsia" w:ascii="宋体" w:hAnsi="宋体" w:cs="宋体"/>
          <w:b/>
          <w:szCs w:val="21"/>
        </w:rPr>
        <w:t>正本、副本、电子文档均应当密封，</w:t>
      </w:r>
      <w:r>
        <w:rPr>
          <w:rFonts w:hint="eastAsia" w:ascii="宋体" w:hAnsi="宋体" w:cs="宋体"/>
          <w:szCs w:val="21"/>
        </w:rPr>
        <w:t>所有封袋上都应当</w:t>
      </w:r>
      <w:r>
        <w:rPr>
          <w:rFonts w:hint="eastAsia" w:ascii="宋体" w:hAnsi="宋体" w:cs="宋体"/>
          <w:b/>
          <w:szCs w:val="21"/>
        </w:rPr>
        <w:t>加盖供应商公章</w:t>
      </w:r>
      <w:r>
        <w:rPr>
          <w:rFonts w:hint="eastAsia" w:ascii="宋体" w:hAnsi="宋体" w:cs="宋体"/>
          <w:szCs w:val="21"/>
        </w:rPr>
        <w:t>。</w:t>
      </w:r>
    </w:p>
    <w:p>
      <w:pPr>
        <w:adjustRightInd w:val="0"/>
        <w:snapToGrid w:val="0"/>
        <w:spacing w:line="360" w:lineRule="auto"/>
        <w:rPr>
          <w:rFonts w:ascii="宋体" w:hAnsi="宋体" w:cs="宋体"/>
          <w:b/>
          <w:szCs w:val="21"/>
        </w:rPr>
      </w:pPr>
      <w:r>
        <w:rPr>
          <w:rFonts w:hint="eastAsia" w:ascii="宋体" w:hAnsi="宋体" w:cs="宋体"/>
          <w:b/>
          <w:szCs w:val="21"/>
        </w:rPr>
        <w:t>13.磋商响应文件提交截止时间及地点</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供应商应在规定的截止日期和时间之前将磋商响应文件提交至公告中注明的地点，凡逾期送达的磋商响应文件将不予接收。</w:t>
      </w:r>
    </w:p>
    <w:p>
      <w:pPr>
        <w:adjustRightInd w:val="0"/>
        <w:snapToGrid w:val="0"/>
        <w:spacing w:line="360" w:lineRule="auto"/>
        <w:ind w:firstLine="430" w:firstLineChars="200"/>
        <w:rPr>
          <w:rFonts w:ascii="宋体" w:hAnsi="宋体" w:cs="宋体"/>
          <w:b/>
          <w:spacing w:val="2"/>
          <w:szCs w:val="21"/>
        </w:rPr>
      </w:pPr>
      <w:r>
        <w:rPr>
          <w:rFonts w:hint="eastAsia" w:ascii="宋体" w:hAnsi="宋体" w:cs="宋体"/>
          <w:b/>
          <w:spacing w:val="2"/>
          <w:szCs w:val="21"/>
        </w:rPr>
        <w:t>供应商在提交磋商响应文件时须提供有效的法定代表人或代理人身份证原件，未提供的，代理机构不接收其磋商响应文件。</w:t>
      </w:r>
    </w:p>
    <w:p>
      <w:pPr>
        <w:adjustRightInd w:val="0"/>
        <w:snapToGrid w:val="0"/>
        <w:spacing w:line="360" w:lineRule="auto"/>
        <w:rPr>
          <w:rFonts w:ascii="宋体" w:hAnsi="宋体" w:cs="宋体"/>
          <w:szCs w:val="21"/>
        </w:rPr>
      </w:pPr>
      <w:r>
        <w:rPr>
          <w:rFonts w:hint="eastAsia" w:ascii="宋体" w:hAnsi="宋体" w:cs="宋体"/>
          <w:b/>
          <w:szCs w:val="21"/>
        </w:rPr>
        <w:t>14.磋商响应文件的修改和撤回</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供应商在提交响应文件截止时间前，可以对所提交的响应文件进行补充、修改或撤回，并书面通知代理机构。补充、修改的内容作为响应文件的组成部分。补充、修改的内容与响应文件不一致的，以补充、修改的内容为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供应商的补充、修改或撤回文件应按规定进行编制、密封、标记和发送，并应在封套上加注“补充”、“修改”或“撤回”字样。上述补充或修改若涉及磋商报价，必须注明“最后唯一报价”字样，否则将视为有选择的报价。修改文件必须在磋商响应文件提交截止时间前送达磋商地点。</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在磋商响应文件提交截止时间至竞争性磋商文件中规定的磋商有效期满之间的这段时间内，供应商不得撤销其磋商响应。（磋商过程中，经采购人确认，实质性变动采购需求中的技术、服务要求以及合同草案条款，供应商退出磋商的除外）</w:t>
      </w:r>
    </w:p>
    <w:p>
      <w:pPr>
        <w:adjustRightInd w:val="0"/>
        <w:snapToGrid w:val="0"/>
        <w:spacing w:line="360" w:lineRule="auto"/>
        <w:rPr>
          <w:rFonts w:ascii="宋体" w:hAnsi="宋体" w:cs="宋体"/>
          <w:b/>
          <w:szCs w:val="21"/>
        </w:rPr>
      </w:pPr>
      <w:r>
        <w:rPr>
          <w:rFonts w:hint="eastAsia" w:ascii="宋体" w:hAnsi="宋体" w:cs="宋体"/>
          <w:b/>
          <w:szCs w:val="21"/>
        </w:rPr>
        <w:t>15.磋商仪式</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15.1 代理机构按磋商公告中规定的时间、地点组织磋商开始仪式。</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15.2 供应商参加磋商仪式的应由法定代表人或委托代理人携带</w:t>
      </w:r>
      <w:r>
        <w:rPr>
          <w:rFonts w:hint="eastAsia" w:ascii="宋体" w:hAnsi="宋体" w:cs="宋体"/>
          <w:b/>
          <w:szCs w:val="21"/>
        </w:rPr>
        <w:t>本人有效的身份证原件</w:t>
      </w:r>
      <w:r>
        <w:rPr>
          <w:rFonts w:hint="eastAsia" w:ascii="宋体" w:hAnsi="宋体" w:cs="宋体"/>
          <w:szCs w:val="21"/>
        </w:rPr>
        <w:t>准时参加，并签名报到以证明其出席。</w:t>
      </w:r>
    </w:p>
    <w:p>
      <w:pPr>
        <w:adjustRightInd w:val="0"/>
        <w:snapToGrid w:val="0"/>
        <w:spacing w:line="360" w:lineRule="auto"/>
        <w:rPr>
          <w:rFonts w:ascii="宋体" w:hAnsi="宋体" w:cs="宋体"/>
          <w:b/>
          <w:szCs w:val="21"/>
        </w:rPr>
      </w:pPr>
      <w:r>
        <w:rPr>
          <w:rFonts w:hint="eastAsia" w:ascii="宋体" w:hAnsi="宋体" w:cs="宋体"/>
          <w:b/>
          <w:szCs w:val="21"/>
        </w:rPr>
        <w:t>16.磋商小组</w:t>
      </w:r>
    </w:p>
    <w:p>
      <w:pPr>
        <w:adjustRightInd w:val="0"/>
        <w:snapToGrid w:val="0"/>
        <w:spacing w:line="360" w:lineRule="auto"/>
        <w:ind w:firstLine="420" w:firstLineChars="200"/>
        <w:rPr>
          <w:rFonts w:ascii="宋体" w:hAnsi="宋体" w:cs="宋体"/>
          <w:szCs w:val="21"/>
        </w:rPr>
      </w:pPr>
      <w:r>
        <w:rPr>
          <w:rFonts w:hint="eastAsia" w:ascii="宋体" w:hAnsi="宋体" w:cs="宋体"/>
          <w:color w:val="333333"/>
          <w:szCs w:val="21"/>
          <w:shd w:val="clear" w:color="auto" w:fill="FFFFFF"/>
        </w:rPr>
        <w:t>评审由磋商小组负责，磋商小组成员按照客观、公正、审慎的原则，根据竞争性磋商文件规定的评审程序、评审方法和评审标准进行独立评审。</w:t>
      </w:r>
    </w:p>
    <w:p>
      <w:pPr>
        <w:adjustRightInd w:val="0"/>
        <w:snapToGrid w:val="0"/>
        <w:spacing w:line="360" w:lineRule="auto"/>
        <w:rPr>
          <w:rFonts w:ascii="宋体" w:hAnsi="宋体" w:cs="宋体"/>
          <w:b/>
          <w:szCs w:val="21"/>
        </w:rPr>
      </w:pPr>
      <w:r>
        <w:rPr>
          <w:rFonts w:hint="eastAsia" w:ascii="宋体" w:hAnsi="宋体" w:cs="宋体"/>
          <w:b/>
          <w:szCs w:val="21"/>
        </w:rPr>
        <w:t>17.评审内容的保密</w:t>
      </w:r>
    </w:p>
    <w:p>
      <w:pPr>
        <w:pStyle w:val="7"/>
        <w:overflowPunct w:val="0"/>
        <w:snapToGrid w:val="0"/>
        <w:spacing w:line="360" w:lineRule="auto"/>
        <w:ind w:firstLineChars="200"/>
        <w:rPr>
          <w:rFonts w:hAnsi="宋体" w:cs="宋体"/>
          <w:sz w:val="21"/>
          <w:szCs w:val="21"/>
        </w:rPr>
      </w:pPr>
      <w:r>
        <w:rPr>
          <w:rFonts w:hint="eastAsia" w:hAnsi="宋体" w:cs="宋体"/>
          <w:sz w:val="21"/>
          <w:szCs w:val="21"/>
        </w:rPr>
        <w:t>17.1 磋商开始后，直到宣布授予成交供应商合同为止，凡属于审查、澄清、评价和比较磋商响应文件的所有资料，有关授予合同的信息都不应向供应商或与评审无关的其他人泄露。</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17.2 在评审过程中，供应商不得以任何行为影响评审过程，否则其磋商响应文件将被作为无效磋商响应文件。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17.3 代理机构和磋商小组不向未成交的供应商解释未成交原因，也不公布评审过程中的相关细节。</w:t>
      </w:r>
    </w:p>
    <w:p>
      <w:pPr>
        <w:adjustRightInd w:val="0"/>
        <w:snapToGrid w:val="0"/>
        <w:spacing w:line="360" w:lineRule="auto"/>
        <w:rPr>
          <w:rFonts w:ascii="宋体" w:hAnsi="宋体" w:cs="宋体"/>
          <w:b/>
          <w:szCs w:val="21"/>
        </w:rPr>
      </w:pPr>
      <w:r>
        <w:rPr>
          <w:rFonts w:hint="eastAsia" w:ascii="宋体" w:hAnsi="宋体" w:cs="宋体"/>
          <w:b/>
          <w:szCs w:val="21"/>
        </w:rPr>
        <w:t>18.对磋商响应文件的审查</w:t>
      </w:r>
    </w:p>
    <w:p>
      <w:pPr>
        <w:pStyle w:val="7"/>
        <w:overflowPunct w:val="0"/>
        <w:snapToGrid w:val="0"/>
        <w:spacing w:line="360" w:lineRule="auto"/>
        <w:ind w:firstLineChars="200"/>
        <w:rPr>
          <w:rFonts w:hAnsi="宋体" w:cs="宋体"/>
          <w:sz w:val="21"/>
          <w:szCs w:val="21"/>
        </w:rPr>
      </w:pPr>
      <w:r>
        <w:rPr>
          <w:rFonts w:hint="eastAsia" w:hAnsi="宋体" w:cs="宋体"/>
          <w:sz w:val="21"/>
          <w:szCs w:val="21"/>
        </w:rPr>
        <w:t>磋商响应文件初审分为资格审查和符合性审查。</w:t>
      </w:r>
    </w:p>
    <w:p>
      <w:pPr>
        <w:pStyle w:val="7"/>
        <w:overflowPunct w:val="0"/>
        <w:snapToGrid w:val="0"/>
        <w:spacing w:line="360" w:lineRule="auto"/>
        <w:ind w:firstLineChars="200"/>
        <w:rPr>
          <w:rFonts w:hAnsi="宋体" w:cs="宋体"/>
          <w:sz w:val="21"/>
          <w:szCs w:val="21"/>
        </w:rPr>
      </w:pPr>
      <w:r>
        <w:rPr>
          <w:rFonts w:hint="eastAsia" w:hAnsi="宋体" w:cs="宋体"/>
          <w:sz w:val="21"/>
          <w:szCs w:val="21"/>
        </w:rPr>
        <w:t>18.1 资格审查：依据法律法规和竞争性磋商文件的规定，对磋商响应文件中的资格证明文件进行审查。</w:t>
      </w:r>
    </w:p>
    <w:p>
      <w:pPr>
        <w:pStyle w:val="7"/>
        <w:overflowPunct w:val="0"/>
        <w:spacing w:line="360" w:lineRule="auto"/>
        <w:ind w:firstLineChars="200"/>
        <w:rPr>
          <w:rFonts w:hAnsi="宋体" w:cs="宋体"/>
          <w:sz w:val="21"/>
          <w:szCs w:val="21"/>
        </w:rPr>
      </w:pPr>
      <w:r>
        <w:rPr>
          <w:rFonts w:hint="eastAsia" w:hAnsi="宋体" w:cs="宋体"/>
          <w:sz w:val="21"/>
          <w:szCs w:val="21"/>
        </w:rPr>
        <w:t>18.2 符合性审查：依据竞争性磋商文件的规定，由磋商小组从磋商响应文件的有效性、完整性和响应程度进行审查，以确定是否对竞争性磋商文件的实质性要求作出响应。</w:t>
      </w:r>
    </w:p>
    <w:p>
      <w:pPr>
        <w:pStyle w:val="7"/>
        <w:overflowPunct w:val="0"/>
        <w:snapToGrid w:val="0"/>
        <w:spacing w:line="360" w:lineRule="auto"/>
        <w:ind w:firstLineChars="200"/>
        <w:rPr>
          <w:rFonts w:hAnsi="宋体" w:cs="宋体"/>
          <w:sz w:val="21"/>
          <w:szCs w:val="21"/>
        </w:rPr>
      </w:pPr>
      <w:r>
        <w:rPr>
          <w:rFonts w:hint="eastAsia" w:hAnsi="宋体" w:cs="宋体"/>
          <w:sz w:val="21"/>
          <w:szCs w:val="21"/>
        </w:rPr>
        <w:t>在正式磋商之前，磋商小组将首先审查每份磋商响应文件是否实质性响应了竞争性磋商文件的要求。实质性响应的磋商响应文件应该是与竞争性磋商文件要求的条款、条件和规格相符，没有重大负偏离或保留。</w:t>
      </w:r>
    </w:p>
    <w:p>
      <w:pPr>
        <w:pStyle w:val="7"/>
        <w:overflowPunct w:val="0"/>
        <w:snapToGrid w:val="0"/>
        <w:spacing w:line="360" w:lineRule="auto"/>
        <w:ind w:firstLineChars="200"/>
        <w:rPr>
          <w:rFonts w:hAnsi="宋体" w:cs="宋体"/>
          <w:sz w:val="21"/>
          <w:szCs w:val="21"/>
        </w:rPr>
      </w:pPr>
      <w:r>
        <w:rPr>
          <w:rFonts w:hint="eastAsia" w:hAnsi="宋体" w:cs="宋体"/>
          <w:sz w:val="21"/>
          <w:szCs w:val="21"/>
        </w:rPr>
        <w:t>所谓重大偏离或保留是指与竞争性磋商文件规定的实质性要求存在负偏离，或者在实质上与竞争性磋商文件不一致，而且限制了合同中采购人和见证方的权利或供应商的义务，纠正这些偏离或保留将会对其他实质性响应要求的供应商的竞争地位产生不公正的影响。重大偏离的认定需经过磋商小组三分二及以上成员的认定。磋商小组决定磋商响应文件的响应性只根据磋商响应文件本身的内容，而不寻求外部的证据。如果磋商响应文件实质上未响应竞争性磋商文件的要求，磋商小组将予以拒绝，供应商不得通过修改或撤销不合要求的偏离或保留而使其磋商响应文件成为实质性响应。</w:t>
      </w:r>
    </w:p>
    <w:p>
      <w:pPr>
        <w:pStyle w:val="7"/>
        <w:overflowPunct w:val="0"/>
        <w:snapToGrid w:val="0"/>
        <w:spacing w:line="360" w:lineRule="auto"/>
        <w:ind w:firstLine="422" w:firstLineChars="200"/>
        <w:rPr>
          <w:rFonts w:hAnsi="宋体" w:cs="宋体"/>
          <w:sz w:val="21"/>
          <w:szCs w:val="21"/>
        </w:rPr>
      </w:pPr>
      <w:r>
        <w:rPr>
          <w:rFonts w:hint="eastAsia" w:hAnsi="宋体" w:cs="宋体"/>
          <w:b/>
          <w:sz w:val="21"/>
          <w:szCs w:val="21"/>
        </w:rPr>
        <w:t>18.3 磋商响应文件出现下列情况之一的，将作为无效磋商响应文件处理</w:t>
      </w:r>
      <w:r>
        <w:rPr>
          <w:rFonts w:hint="eastAsia" w:hAnsi="宋体" w:cs="宋体"/>
          <w:sz w:val="21"/>
          <w:szCs w:val="21"/>
        </w:rPr>
        <w:t xml:space="preserve">： </w:t>
      </w:r>
    </w:p>
    <w:p>
      <w:pPr>
        <w:adjustRightInd w:val="0"/>
        <w:snapToGrid w:val="0"/>
        <w:spacing w:line="360" w:lineRule="auto"/>
        <w:ind w:firstLine="436" w:firstLineChars="208"/>
        <w:rPr>
          <w:rFonts w:ascii="宋体" w:hAnsi="宋体" w:cs="宋体"/>
          <w:szCs w:val="21"/>
        </w:rPr>
      </w:pPr>
      <w:r>
        <w:rPr>
          <w:rFonts w:hint="eastAsia" w:ascii="宋体" w:hAnsi="宋体" w:cs="宋体"/>
          <w:szCs w:val="21"/>
        </w:rPr>
        <w:t>18.3.1 供应商未通过领购申请的或者在名称上和法人地位上与领购时发生实质性改变的；</w:t>
      </w:r>
    </w:p>
    <w:p>
      <w:pPr>
        <w:adjustRightInd w:val="0"/>
        <w:snapToGrid w:val="0"/>
        <w:spacing w:line="360" w:lineRule="auto"/>
        <w:ind w:firstLine="436" w:firstLineChars="208"/>
        <w:rPr>
          <w:rFonts w:ascii="宋体" w:hAnsi="宋体" w:cs="宋体"/>
          <w:szCs w:val="21"/>
        </w:rPr>
      </w:pPr>
      <w:r>
        <w:rPr>
          <w:rFonts w:hint="eastAsia" w:ascii="宋体" w:hAnsi="宋体" w:cs="宋体"/>
          <w:szCs w:val="21"/>
        </w:rPr>
        <w:t>18.3.2 磋商响应文件提交时未按规定密封、盖章的，电子文档未按要求提供的；</w:t>
      </w:r>
    </w:p>
    <w:p>
      <w:pPr>
        <w:adjustRightInd w:val="0"/>
        <w:snapToGrid w:val="0"/>
        <w:spacing w:line="360" w:lineRule="auto"/>
        <w:ind w:firstLine="439" w:firstLineChars="208"/>
        <w:rPr>
          <w:rFonts w:ascii="宋体" w:hAnsi="宋体" w:cs="宋体"/>
          <w:b/>
          <w:color w:val="FF0000"/>
          <w:szCs w:val="21"/>
        </w:rPr>
      </w:pPr>
      <w:r>
        <w:rPr>
          <w:rFonts w:hint="eastAsia" w:ascii="宋体" w:hAnsi="宋体" w:cs="宋体"/>
          <w:b/>
          <w:szCs w:val="21"/>
        </w:rPr>
        <w:t>18.3.3 供应商被列入失信被执行人、重大税收违法案件当事人名单、政府采购严重失信行为记录名单的（查询渠道：中国政府采购网（http://www.ccgp.gov.cn/）、信用中国（www.creditchina.gov.cn）网站的相关主体信用记录）；</w:t>
      </w:r>
    </w:p>
    <w:p>
      <w:pPr>
        <w:adjustRightInd w:val="0"/>
        <w:snapToGrid w:val="0"/>
        <w:spacing w:line="360" w:lineRule="auto"/>
        <w:ind w:firstLine="436" w:firstLineChars="208"/>
        <w:rPr>
          <w:rFonts w:ascii="宋体" w:hAnsi="宋体" w:cs="宋体"/>
          <w:szCs w:val="21"/>
        </w:rPr>
      </w:pPr>
      <w:r>
        <w:rPr>
          <w:rFonts w:hint="eastAsia" w:ascii="宋体" w:hAnsi="宋体" w:cs="宋体"/>
          <w:szCs w:val="21"/>
        </w:rPr>
        <w:t>18.3.4 未按竞争性磋商文件要求提供法定代表人资格证明书或授权委托书的、无供应商公章的、无法定代表人或委托代理人签字或盖章的、非原件的；</w:t>
      </w:r>
    </w:p>
    <w:p>
      <w:pPr>
        <w:adjustRightInd w:val="0"/>
        <w:snapToGrid w:val="0"/>
        <w:spacing w:line="360" w:lineRule="auto"/>
        <w:ind w:firstLine="436" w:firstLineChars="208"/>
        <w:rPr>
          <w:rFonts w:ascii="宋体" w:hAnsi="宋体" w:cs="宋体"/>
          <w:szCs w:val="21"/>
        </w:rPr>
      </w:pPr>
      <w:r>
        <w:rPr>
          <w:rFonts w:hint="eastAsia" w:ascii="宋体" w:hAnsi="宋体" w:cs="宋体"/>
          <w:szCs w:val="21"/>
        </w:rPr>
        <w:t>18.3.5 供应商不符合竞争性磋商文件中规定资格要求的，或者资格要求证明材料提供不齐全的；</w:t>
      </w:r>
    </w:p>
    <w:p>
      <w:pPr>
        <w:adjustRightInd w:val="0"/>
        <w:snapToGrid w:val="0"/>
        <w:spacing w:line="360" w:lineRule="auto"/>
        <w:ind w:firstLine="436" w:firstLineChars="208"/>
        <w:rPr>
          <w:rFonts w:ascii="宋体" w:hAnsi="宋体" w:cs="宋体"/>
          <w:szCs w:val="21"/>
        </w:rPr>
      </w:pPr>
      <w:r>
        <w:rPr>
          <w:rFonts w:hint="eastAsia" w:ascii="宋体" w:hAnsi="宋体" w:cs="宋体"/>
          <w:szCs w:val="21"/>
        </w:rPr>
        <w:t>18.3.6 磋商响应文件未按竞争性磋商文件规定的格式、内容和要求编制，磋商响应文件字迹潦草、模糊、难以辨认；</w:t>
      </w:r>
    </w:p>
    <w:p>
      <w:pPr>
        <w:adjustRightInd w:val="0"/>
        <w:snapToGrid w:val="0"/>
        <w:spacing w:line="360" w:lineRule="auto"/>
        <w:ind w:firstLine="436" w:firstLineChars="208"/>
        <w:rPr>
          <w:rFonts w:ascii="宋体" w:hAnsi="宋体" w:cs="宋体"/>
          <w:szCs w:val="21"/>
        </w:rPr>
      </w:pPr>
      <w:r>
        <w:rPr>
          <w:rFonts w:hint="eastAsia" w:ascii="宋体" w:hAnsi="宋体" w:cs="宋体"/>
          <w:szCs w:val="21"/>
        </w:rPr>
        <w:t>18.3.7 磋商响应文件材料所述情况和所附相关资料不实的；</w:t>
      </w:r>
    </w:p>
    <w:p>
      <w:pPr>
        <w:adjustRightInd w:val="0"/>
        <w:snapToGrid w:val="0"/>
        <w:spacing w:line="360" w:lineRule="auto"/>
        <w:ind w:firstLine="436" w:firstLineChars="208"/>
        <w:rPr>
          <w:rFonts w:ascii="宋体" w:hAnsi="宋体" w:cs="宋体"/>
          <w:szCs w:val="21"/>
        </w:rPr>
      </w:pPr>
      <w:r>
        <w:rPr>
          <w:rFonts w:hint="eastAsia" w:ascii="宋体" w:hAnsi="宋体" w:cs="宋体"/>
          <w:szCs w:val="21"/>
        </w:rPr>
        <w:t>18.3.8 供应商以他人的名义参加磋商、相互串通、以行贿手段谋取成交或者以其他弄虚作假方式参与磋商的；</w:t>
      </w:r>
    </w:p>
    <w:p>
      <w:pPr>
        <w:adjustRightInd w:val="0"/>
        <w:snapToGrid w:val="0"/>
        <w:spacing w:line="360" w:lineRule="auto"/>
        <w:ind w:firstLine="436" w:firstLineChars="208"/>
        <w:rPr>
          <w:rFonts w:ascii="宋体" w:hAnsi="宋体" w:cs="宋体"/>
          <w:szCs w:val="21"/>
        </w:rPr>
      </w:pPr>
      <w:r>
        <w:rPr>
          <w:rFonts w:hint="eastAsia" w:ascii="宋体" w:hAnsi="宋体" w:cs="宋体"/>
          <w:szCs w:val="21"/>
        </w:rPr>
        <w:t>18.3.9 供应商在一份磋商响应文件中，对同一采购项目报有两个或多个报价，且未书面确定以哪个报价为准的；</w:t>
      </w:r>
    </w:p>
    <w:p>
      <w:pPr>
        <w:adjustRightInd w:val="0"/>
        <w:snapToGrid w:val="0"/>
        <w:spacing w:line="360" w:lineRule="auto"/>
        <w:ind w:firstLine="436" w:firstLineChars="208"/>
        <w:rPr>
          <w:rFonts w:ascii="宋体" w:hAnsi="宋体" w:cs="宋体"/>
          <w:szCs w:val="21"/>
        </w:rPr>
      </w:pPr>
      <w:r>
        <w:rPr>
          <w:rFonts w:hint="eastAsia" w:ascii="宋体" w:hAnsi="宋体" w:cs="宋体"/>
          <w:szCs w:val="21"/>
        </w:rPr>
        <w:t>18.3.10 供应商的磋商报价超出采购预算或者最高限价的；</w:t>
      </w:r>
    </w:p>
    <w:p>
      <w:pPr>
        <w:adjustRightInd w:val="0"/>
        <w:snapToGrid w:val="0"/>
        <w:spacing w:line="360" w:lineRule="auto"/>
        <w:ind w:firstLine="436" w:firstLineChars="208"/>
        <w:rPr>
          <w:rFonts w:ascii="宋体" w:hAnsi="宋体" w:cs="宋体"/>
          <w:szCs w:val="21"/>
        </w:rPr>
      </w:pPr>
      <w:r>
        <w:rPr>
          <w:rFonts w:hint="eastAsia" w:ascii="宋体" w:hAnsi="宋体" w:cs="宋体"/>
          <w:szCs w:val="21"/>
        </w:rPr>
        <w:t>18.3.11 未按要求提供带“*”项材料或者带“*”项内容未盖公章的；</w:t>
      </w:r>
    </w:p>
    <w:p>
      <w:pPr>
        <w:adjustRightInd w:val="0"/>
        <w:snapToGrid w:val="0"/>
        <w:spacing w:line="360" w:lineRule="auto"/>
        <w:ind w:firstLine="439" w:firstLineChars="208"/>
        <w:rPr>
          <w:rFonts w:ascii="宋体" w:hAnsi="宋体" w:cs="宋体"/>
          <w:b/>
          <w:szCs w:val="21"/>
        </w:rPr>
      </w:pPr>
      <w:r>
        <w:rPr>
          <w:rFonts w:hint="eastAsia" w:ascii="宋体" w:hAnsi="宋体" w:cs="宋体"/>
          <w:b/>
          <w:szCs w:val="21"/>
        </w:rPr>
        <w:t>18.3.12 磋商小组认为供应商的报价明显低于其他通过符合性审查供应商的报价，有可能不能诚信履约的，应当要求其在评审现场合理的时间内提供书面说明，必要时提交相关证明材料；供应商不能证明其报价合理性的，磋商小组应当将其作为无效响应处理；</w:t>
      </w:r>
    </w:p>
    <w:p>
      <w:pPr>
        <w:adjustRightInd w:val="0"/>
        <w:snapToGrid w:val="0"/>
        <w:spacing w:line="360" w:lineRule="auto"/>
        <w:ind w:firstLine="436" w:firstLineChars="208"/>
        <w:rPr>
          <w:rFonts w:ascii="宋体" w:hAnsi="宋体" w:cs="宋体"/>
          <w:szCs w:val="21"/>
        </w:rPr>
      </w:pPr>
      <w:r>
        <w:rPr>
          <w:rFonts w:hint="eastAsia" w:ascii="宋体" w:hAnsi="宋体" w:cs="宋体"/>
          <w:szCs w:val="21"/>
        </w:rPr>
        <w:t>18.3.13 磋商响应文件含有采购人不能接受的附加条件的；</w:t>
      </w:r>
    </w:p>
    <w:p>
      <w:pPr>
        <w:adjustRightInd w:val="0"/>
        <w:snapToGrid w:val="0"/>
        <w:spacing w:line="360" w:lineRule="auto"/>
        <w:ind w:firstLine="436" w:firstLineChars="208"/>
        <w:rPr>
          <w:rFonts w:ascii="宋体" w:hAnsi="宋体" w:cs="宋体"/>
          <w:szCs w:val="21"/>
        </w:rPr>
      </w:pPr>
      <w:r>
        <w:rPr>
          <w:rFonts w:hint="eastAsia" w:ascii="宋体" w:hAnsi="宋体" w:cs="宋体"/>
          <w:szCs w:val="21"/>
        </w:rPr>
        <w:t>18.3.14 竞争性磋商文件明确规定无效的其他情形，或者其他被磋商小组认定无效的情况；</w:t>
      </w:r>
    </w:p>
    <w:p>
      <w:pPr>
        <w:adjustRightInd w:val="0"/>
        <w:snapToGrid w:val="0"/>
        <w:spacing w:line="360" w:lineRule="auto"/>
        <w:ind w:firstLine="436" w:firstLineChars="208"/>
        <w:rPr>
          <w:rFonts w:ascii="宋体" w:hAnsi="宋体" w:cs="宋体"/>
          <w:szCs w:val="21"/>
        </w:rPr>
      </w:pPr>
      <w:r>
        <w:rPr>
          <w:rFonts w:hint="eastAsia" w:ascii="宋体" w:hAnsi="宋体" w:cs="宋体"/>
          <w:szCs w:val="21"/>
        </w:rPr>
        <w:t>18.3.15 不符合法律、法规和竞争性磋商文件规定的其他实质性要求的。</w:t>
      </w:r>
    </w:p>
    <w:p>
      <w:pPr>
        <w:adjustRightInd w:val="0"/>
        <w:snapToGrid w:val="0"/>
        <w:spacing w:line="360" w:lineRule="auto"/>
        <w:ind w:firstLine="439" w:firstLineChars="208"/>
        <w:rPr>
          <w:rFonts w:ascii="宋体" w:hAnsi="宋体" w:cs="宋体"/>
          <w:b/>
          <w:szCs w:val="21"/>
        </w:rPr>
      </w:pPr>
      <w:r>
        <w:rPr>
          <w:rFonts w:hint="eastAsia" w:ascii="宋体" w:hAnsi="宋体" w:cs="宋体"/>
          <w:b/>
          <w:szCs w:val="21"/>
        </w:rPr>
        <w:t>18.4 有下列情形之一的，视为供应商相互串通，无效响应：</w:t>
      </w:r>
    </w:p>
    <w:p>
      <w:pPr>
        <w:adjustRightInd w:val="0"/>
        <w:snapToGrid w:val="0"/>
        <w:spacing w:line="360" w:lineRule="auto"/>
        <w:ind w:firstLine="436" w:firstLineChars="208"/>
        <w:rPr>
          <w:rFonts w:ascii="宋体" w:hAnsi="宋体" w:cs="宋体"/>
          <w:szCs w:val="21"/>
        </w:rPr>
      </w:pPr>
      <w:r>
        <w:rPr>
          <w:rFonts w:hint="eastAsia" w:ascii="宋体" w:hAnsi="宋体" w:cs="宋体"/>
          <w:szCs w:val="21"/>
        </w:rPr>
        <w:t>18.4.1 不同供应商的磋商响应文件由同一单位或者个人编制；</w:t>
      </w:r>
    </w:p>
    <w:p>
      <w:pPr>
        <w:adjustRightInd w:val="0"/>
        <w:snapToGrid w:val="0"/>
        <w:spacing w:line="360" w:lineRule="auto"/>
        <w:ind w:firstLine="436" w:firstLineChars="208"/>
        <w:rPr>
          <w:rFonts w:ascii="宋体" w:hAnsi="宋体" w:cs="宋体"/>
          <w:szCs w:val="21"/>
        </w:rPr>
      </w:pPr>
      <w:r>
        <w:rPr>
          <w:rFonts w:hint="eastAsia" w:ascii="宋体" w:hAnsi="宋体" w:cs="宋体"/>
          <w:szCs w:val="21"/>
        </w:rPr>
        <w:t>18.4.2 不同供应商委托同一单位或者个人办理磋商事宜；</w:t>
      </w:r>
    </w:p>
    <w:p>
      <w:pPr>
        <w:adjustRightInd w:val="0"/>
        <w:snapToGrid w:val="0"/>
        <w:spacing w:line="360" w:lineRule="auto"/>
        <w:ind w:firstLine="436" w:firstLineChars="208"/>
        <w:rPr>
          <w:rFonts w:ascii="宋体" w:hAnsi="宋体" w:cs="宋体"/>
          <w:szCs w:val="21"/>
        </w:rPr>
      </w:pPr>
      <w:r>
        <w:rPr>
          <w:rFonts w:hint="eastAsia" w:ascii="宋体" w:hAnsi="宋体" w:cs="宋体"/>
          <w:szCs w:val="21"/>
        </w:rPr>
        <w:t>18.4.3 不同供应商的磋商响应文件载明的项目管理成员或者联系人员为同一人；</w:t>
      </w:r>
    </w:p>
    <w:p>
      <w:pPr>
        <w:adjustRightInd w:val="0"/>
        <w:snapToGrid w:val="0"/>
        <w:spacing w:line="360" w:lineRule="auto"/>
        <w:ind w:firstLine="436" w:firstLineChars="208"/>
        <w:rPr>
          <w:rFonts w:ascii="宋体" w:hAnsi="宋体" w:cs="宋体"/>
          <w:szCs w:val="21"/>
        </w:rPr>
      </w:pPr>
      <w:r>
        <w:rPr>
          <w:rFonts w:hint="eastAsia" w:ascii="宋体" w:hAnsi="宋体" w:cs="宋体"/>
          <w:szCs w:val="21"/>
        </w:rPr>
        <w:t>18.4.4 不同供应商的磋商响应文件异常一致或者磋商报价呈规律性差异；</w:t>
      </w:r>
    </w:p>
    <w:p>
      <w:pPr>
        <w:adjustRightInd w:val="0"/>
        <w:snapToGrid w:val="0"/>
        <w:spacing w:line="360" w:lineRule="auto"/>
        <w:ind w:firstLine="436" w:firstLineChars="208"/>
        <w:rPr>
          <w:rFonts w:ascii="宋体" w:hAnsi="宋体" w:cs="宋体"/>
          <w:szCs w:val="21"/>
        </w:rPr>
      </w:pPr>
      <w:r>
        <w:rPr>
          <w:rFonts w:hint="eastAsia" w:ascii="宋体" w:hAnsi="宋体" w:cs="宋体"/>
          <w:szCs w:val="21"/>
        </w:rPr>
        <w:t>18.4.5 不同供应商的磋商响应文件相互混装；</w:t>
      </w:r>
    </w:p>
    <w:p>
      <w:pPr>
        <w:adjustRightInd w:val="0"/>
        <w:snapToGrid w:val="0"/>
        <w:spacing w:line="360" w:lineRule="auto"/>
        <w:rPr>
          <w:rFonts w:ascii="宋体" w:hAnsi="宋体" w:cs="宋体"/>
          <w:b/>
          <w:kern w:val="0"/>
          <w:szCs w:val="21"/>
        </w:rPr>
      </w:pPr>
      <w:r>
        <w:rPr>
          <w:rFonts w:hint="eastAsia" w:ascii="宋体" w:hAnsi="宋体" w:cs="宋体"/>
          <w:b/>
          <w:szCs w:val="21"/>
        </w:rPr>
        <w:t>19</w:t>
      </w:r>
      <w:r>
        <w:rPr>
          <w:rFonts w:hint="eastAsia" w:ascii="宋体" w:hAnsi="宋体" w:cs="宋体"/>
          <w:b/>
          <w:kern w:val="0"/>
          <w:szCs w:val="21"/>
        </w:rPr>
        <w:t>.磋商响应文件的澄清</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19.1 为了有助于磋商响应文件的审查、评价和比较，磋商小组可以书面方式要求供应商对磋商响应文件中含义不明确、对同类问题表述不一致或者明显文字和计算错误的内容作必要的澄清、说明或者补正。供应商的澄清、说明或者补正应当采用书面形式，并加盖公章，或者由法定代表人或其授权的代表签字。</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19.2 磋商小组可要求供应商就澄清的问题作出答复，该答复经供应商代表的签字认可，将作为磋商响应文件内容的一部分。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19.3 供应商在进行澄清、说明、答辩或补正时，不得改变磋商的价格（校核时发现的算术错误除外）、超出竞争性磋商文件的范围及改变磋商响应文件的实质性内容。</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19.4 磋商响应文件报价出现前后不一致的，除竞争性磋商文件另有规定外，按照下列规定修正：</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19.4.1 磋商响应文件中报价一览表内容与磋商响应文件中相应内容不一致的，以报价一览表为准；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19.4.2 磋商响应文件的大写金额与小写金额不一致的，以大写金额为准；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19.4.3 单价金额小数点或者百分比有明显错位的，以报价一览表的总价为准，并修改单价；</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19.4.4 总价金额与按单价汇总金额不一致的，以单价金额计算结果为准。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同时出现两种以上不一致的，按照前款规定的顺序修正。修正后的报价按照本竞争性磋商文件规定经供应商确认后产生约束力，供应商不确认的，其磋商无效。</w:t>
      </w:r>
      <w:r>
        <w:rPr>
          <w:rFonts w:hint="eastAsia" w:ascii="宋体" w:hAnsi="宋体" w:cs="宋体"/>
          <w:b/>
          <w:szCs w:val="21"/>
        </w:rPr>
        <w:t>存在缺项漏项或者数量不符合竞争性磋商文件要求的作为无效磋商响应文件处理</w:t>
      </w:r>
      <w:r>
        <w:rPr>
          <w:rFonts w:hint="eastAsia" w:ascii="宋体" w:hAnsi="宋体" w:cs="宋体"/>
          <w:szCs w:val="21"/>
        </w:rPr>
        <w:t>；对不同文字文本磋商响应文件的解释发生异议的，以中文文本为准。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19.5 供应商拒不按照磋商小组要求作出澄清、说明或者补正的，作为无效响应处理。</w:t>
      </w:r>
    </w:p>
    <w:p>
      <w:pPr>
        <w:adjustRightInd w:val="0"/>
        <w:snapToGrid w:val="0"/>
        <w:spacing w:line="360" w:lineRule="auto"/>
        <w:ind w:firstLine="420" w:firstLineChars="200"/>
        <w:rPr>
          <w:rFonts w:ascii="宋体" w:hAnsi="宋体" w:cs="宋体"/>
          <w:strike/>
          <w:szCs w:val="21"/>
        </w:rPr>
      </w:pPr>
      <w:r>
        <w:rPr>
          <w:rFonts w:hint="eastAsia" w:ascii="宋体" w:hAnsi="宋体" w:cs="宋体"/>
          <w:szCs w:val="21"/>
        </w:rPr>
        <w:t>19.6 磋商小组对磋商响应文件的判定，只依据磋商响应文件内容本身，不依靠磋商响应文件后的任何外来证明。</w:t>
      </w:r>
    </w:p>
    <w:p>
      <w:pPr>
        <w:adjustRightInd w:val="0"/>
        <w:snapToGrid w:val="0"/>
        <w:spacing w:line="360" w:lineRule="auto"/>
        <w:rPr>
          <w:rFonts w:ascii="宋体" w:hAnsi="宋体" w:cs="宋体"/>
          <w:b/>
          <w:szCs w:val="21"/>
        </w:rPr>
      </w:pPr>
      <w:r>
        <w:rPr>
          <w:rFonts w:hint="eastAsia" w:ascii="宋体" w:hAnsi="宋体" w:cs="宋体"/>
          <w:b/>
          <w:szCs w:val="21"/>
        </w:rPr>
        <w:t>20.磋商变动实质性内容</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供应商按照竞争性磋商文件的变动情况和磋商小组的要求重新提交响应文件，并由其法定代表人或授权代表签字或者加盖公章。由授权代表签字的，应当附法定代表人授权书。</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已提交响应文件的供应商，在提交最后报价前，可以根据磋商情况退出磋商。</w:t>
      </w:r>
    </w:p>
    <w:p>
      <w:pPr>
        <w:adjustRightInd w:val="0"/>
        <w:snapToGrid w:val="0"/>
        <w:spacing w:line="360" w:lineRule="auto"/>
        <w:rPr>
          <w:rFonts w:ascii="宋体" w:hAnsi="宋体" w:cs="宋体"/>
          <w:b/>
          <w:kern w:val="0"/>
          <w:szCs w:val="21"/>
        </w:rPr>
      </w:pPr>
      <w:r>
        <w:rPr>
          <w:rFonts w:hint="eastAsia" w:ascii="宋体" w:hAnsi="宋体" w:cs="宋体"/>
          <w:b/>
          <w:kern w:val="0"/>
          <w:szCs w:val="21"/>
        </w:rPr>
        <w:t>21.</w:t>
      </w:r>
      <w:r>
        <w:rPr>
          <w:rFonts w:hint="eastAsia" w:ascii="宋体" w:hAnsi="宋体" w:cs="宋体"/>
          <w:b/>
          <w:szCs w:val="21"/>
        </w:rPr>
        <w:t xml:space="preserve"> 出现下列情形之一的，终止竞争性磋商采购活动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21.1 因情况变化，不再符合规定的竞争性磋商采购方式适用情形的；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21.2 出现影响采购公正的违法、违规行为的；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21.3 供应商的最终报价均超过了采购预算，采购人不能支付的；</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21.4 因重大变故，采购任务取消的。</w:t>
      </w:r>
    </w:p>
    <w:p>
      <w:pPr>
        <w:adjustRightInd w:val="0"/>
        <w:snapToGrid w:val="0"/>
        <w:spacing w:line="360" w:lineRule="auto"/>
        <w:rPr>
          <w:rFonts w:ascii="宋体" w:hAnsi="宋体" w:cs="宋体"/>
          <w:szCs w:val="21"/>
        </w:rPr>
      </w:pPr>
      <w:r>
        <w:rPr>
          <w:rFonts w:hint="eastAsia" w:ascii="宋体" w:hAnsi="宋体" w:cs="宋体"/>
          <w:b/>
          <w:szCs w:val="21"/>
        </w:rPr>
        <w:t>22.评审方法</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22.1 本项目采用综合评分法，磋商响应文件满足竞争性磋商文件全部实质性要求且按照评审因素的量化指标（即评分细则）得分最高的供应商为成交供应商。</w:t>
      </w:r>
    </w:p>
    <w:p>
      <w:pPr>
        <w:adjustRightInd w:val="0"/>
        <w:snapToGrid w:val="0"/>
        <w:spacing w:line="360" w:lineRule="auto"/>
        <w:ind w:firstLine="420"/>
        <w:rPr>
          <w:rFonts w:ascii="宋体" w:hAnsi="宋体" w:cs="宋体"/>
          <w:b/>
          <w:bCs/>
          <w:szCs w:val="21"/>
        </w:rPr>
      </w:pPr>
      <w:r>
        <w:rPr>
          <w:rFonts w:hint="eastAsia" w:ascii="宋体" w:hAnsi="宋体" w:cs="宋体"/>
          <w:b/>
          <w:bCs/>
          <w:kern w:val="0"/>
          <w:szCs w:val="21"/>
        </w:rPr>
        <w:t xml:space="preserve">22.2 </w:t>
      </w:r>
      <w:r>
        <w:rPr>
          <w:rFonts w:hint="eastAsia" w:ascii="宋体" w:hAnsi="宋体" w:cs="宋体"/>
          <w:b/>
          <w:bCs/>
          <w:szCs w:val="21"/>
          <w:u w:val="single"/>
        </w:rPr>
        <w:t>采购人授权磋商小组直接确定成交供应商。</w:t>
      </w:r>
    </w:p>
    <w:p>
      <w:pPr>
        <w:pStyle w:val="7"/>
        <w:overflowPunct w:val="0"/>
        <w:snapToGrid w:val="0"/>
        <w:spacing w:line="360" w:lineRule="auto"/>
        <w:ind w:firstLine="0"/>
        <w:rPr>
          <w:rFonts w:hAnsi="宋体" w:cs="宋体"/>
          <w:b/>
          <w:sz w:val="21"/>
          <w:szCs w:val="21"/>
        </w:rPr>
      </w:pPr>
      <w:r>
        <w:rPr>
          <w:rFonts w:hint="eastAsia" w:hAnsi="宋体" w:cs="宋体"/>
          <w:b/>
          <w:sz w:val="21"/>
          <w:szCs w:val="21"/>
        </w:rPr>
        <w:t>23.</w:t>
      </w:r>
      <w:r>
        <w:rPr>
          <w:rStyle w:val="32"/>
          <w:rFonts w:hint="eastAsia" w:hAnsi="宋体" w:cs="宋体"/>
          <w:sz w:val="21"/>
          <w:szCs w:val="21"/>
        </w:rPr>
        <w:t>成交结果</w:t>
      </w:r>
      <w:r>
        <w:rPr>
          <w:rFonts w:hint="eastAsia" w:hAnsi="宋体" w:cs="宋体"/>
          <w:b/>
          <w:sz w:val="21"/>
          <w:szCs w:val="21"/>
        </w:rPr>
        <w:t>及公示</w:t>
      </w:r>
    </w:p>
    <w:p>
      <w:pPr>
        <w:pStyle w:val="7"/>
        <w:overflowPunct w:val="0"/>
        <w:snapToGrid w:val="0"/>
        <w:spacing w:line="360" w:lineRule="auto"/>
        <w:ind w:firstLineChars="200"/>
        <w:rPr>
          <w:rFonts w:hAnsi="宋体" w:cs="宋体"/>
          <w:sz w:val="21"/>
          <w:szCs w:val="21"/>
        </w:rPr>
      </w:pPr>
      <w:r>
        <w:rPr>
          <w:rFonts w:hint="eastAsia" w:hAnsi="宋体" w:cs="宋体"/>
          <w:sz w:val="21"/>
          <w:szCs w:val="21"/>
        </w:rPr>
        <w:t>代理机构将成交结果在原公告媒体上予以公告。公告期限为1个工作日。</w:t>
      </w:r>
    </w:p>
    <w:p>
      <w:pPr>
        <w:pStyle w:val="7"/>
        <w:overflowPunct w:val="0"/>
        <w:snapToGrid w:val="0"/>
        <w:spacing w:line="360" w:lineRule="auto"/>
        <w:ind w:firstLine="0"/>
        <w:rPr>
          <w:rFonts w:hAnsi="宋体" w:cs="宋体"/>
          <w:b/>
          <w:sz w:val="21"/>
          <w:szCs w:val="21"/>
        </w:rPr>
      </w:pPr>
      <w:r>
        <w:rPr>
          <w:rFonts w:hint="eastAsia" w:hAnsi="宋体" w:cs="宋体"/>
          <w:b/>
          <w:sz w:val="21"/>
          <w:szCs w:val="21"/>
        </w:rPr>
        <w:t>24.成交通知书</w:t>
      </w:r>
    </w:p>
    <w:p>
      <w:pPr>
        <w:pStyle w:val="7"/>
        <w:overflowPunct w:val="0"/>
        <w:snapToGrid w:val="0"/>
        <w:spacing w:line="360" w:lineRule="auto"/>
        <w:ind w:firstLineChars="200"/>
        <w:rPr>
          <w:rFonts w:hAnsi="宋体" w:cs="宋体"/>
          <w:b/>
          <w:sz w:val="21"/>
          <w:szCs w:val="21"/>
        </w:rPr>
      </w:pPr>
      <w:r>
        <w:rPr>
          <w:rFonts w:hint="eastAsia" w:hAnsi="宋体" w:cs="宋体"/>
          <w:sz w:val="21"/>
          <w:szCs w:val="21"/>
        </w:rPr>
        <w:t>24.1 成交结果确定后，代理机构将向成交供应商发出成交通知书。</w:t>
      </w:r>
    </w:p>
    <w:p>
      <w:pPr>
        <w:pStyle w:val="7"/>
        <w:overflowPunct w:val="0"/>
        <w:snapToGrid w:val="0"/>
        <w:spacing w:line="360" w:lineRule="auto"/>
        <w:ind w:firstLineChars="200"/>
        <w:rPr>
          <w:rFonts w:hAnsi="宋体" w:cs="宋体"/>
          <w:b/>
          <w:sz w:val="21"/>
          <w:szCs w:val="21"/>
        </w:rPr>
      </w:pPr>
      <w:r>
        <w:rPr>
          <w:rFonts w:hint="eastAsia" w:hAnsi="宋体" w:cs="宋体"/>
          <w:sz w:val="21"/>
          <w:szCs w:val="21"/>
        </w:rPr>
        <w:t>24.2 成交通知书对采购人和成交供应商具有法律约束力。成交通知书发出后，采购人改变成交结果或者成交供应商放弃成交资格，均应当承担相应的法律责任，且不影响成交服务费的支付。</w:t>
      </w:r>
    </w:p>
    <w:p>
      <w:pPr>
        <w:pStyle w:val="7"/>
        <w:overflowPunct w:val="0"/>
        <w:snapToGrid w:val="0"/>
        <w:spacing w:line="360" w:lineRule="auto"/>
        <w:ind w:firstLineChars="200"/>
        <w:rPr>
          <w:rFonts w:hAnsi="宋体" w:cs="宋体"/>
          <w:b/>
          <w:sz w:val="21"/>
          <w:szCs w:val="21"/>
        </w:rPr>
      </w:pPr>
      <w:r>
        <w:rPr>
          <w:rFonts w:hint="eastAsia" w:hAnsi="宋体" w:cs="宋体"/>
          <w:sz w:val="21"/>
          <w:szCs w:val="21"/>
        </w:rPr>
        <w:t>24.3 代理机构及采购人对未成交供应商不承担解释未成交原因的义务。</w:t>
      </w:r>
    </w:p>
    <w:p>
      <w:pPr>
        <w:adjustRightInd w:val="0"/>
        <w:snapToGrid w:val="0"/>
        <w:spacing w:line="360" w:lineRule="auto"/>
        <w:rPr>
          <w:rFonts w:ascii="宋体" w:hAnsi="宋体" w:cs="宋体"/>
          <w:b/>
          <w:szCs w:val="21"/>
        </w:rPr>
      </w:pPr>
      <w:r>
        <w:rPr>
          <w:rFonts w:hint="eastAsia" w:ascii="宋体" w:hAnsi="宋体" w:cs="宋体"/>
          <w:b/>
          <w:szCs w:val="21"/>
        </w:rPr>
        <w:t>25.代理机构服务费</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25.1 代理服务收费标准</w:t>
      </w:r>
    </w:p>
    <w:tbl>
      <w:tblPr>
        <w:tblStyle w:val="22"/>
        <w:tblW w:w="5154" w:type="dxa"/>
        <w:tblInd w:w="16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4"/>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3" w:hRule="atLeast"/>
        </w:trPr>
        <w:tc>
          <w:tcPr>
            <w:tcW w:w="2744" w:type="dxa"/>
          </w:tcPr>
          <w:p>
            <w:pPr>
              <w:spacing w:line="360" w:lineRule="auto"/>
              <w:ind w:firstLine="945" w:firstLineChars="450"/>
              <w:rPr>
                <w:rFonts w:ascii="宋体" w:hAnsi="宋体" w:cs="宋体"/>
                <w:bCs/>
                <w:szCs w:val="21"/>
              </w:rPr>
            </w:pPr>
            <w:r>
              <w:rPr>
                <w:rFonts w:ascii="宋体" w:hAnsi="宋体" w:cs="宋体"/>
                <w:bCs/>
                <w:szCs w:val="21"/>
              </w:rPr>
              <mc:AlternateContent>
                <mc:Choice Requires="wps">
                  <w:drawing>
                    <wp:anchor distT="0" distB="0" distL="114300" distR="114300" simplePos="0" relativeHeight="251662336" behindDoc="0" locked="0" layoutInCell="1" allowOverlap="1">
                      <wp:simplePos x="0" y="0"/>
                      <wp:positionH relativeFrom="column">
                        <wp:posOffset>342900</wp:posOffset>
                      </wp:positionH>
                      <wp:positionV relativeFrom="paragraph">
                        <wp:posOffset>-5080</wp:posOffset>
                      </wp:positionV>
                      <wp:extent cx="1365885" cy="1709420"/>
                      <wp:effectExtent l="0" t="0" r="24765" b="24130"/>
                      <wp:wrapNone/>
                      <wp:docPr id="4" name="Line 47"/>
                      <wp:cNvGraphicFramePr/>
                      <a:graphic xmlns:a="http://schemas.openxmlformats.org/drawingml/2006/main">
                        <a:graphicData uri="http://schemas.microsoft.com/office/word/2010/wordprocessingShape">
                          <wps:wsp>
                            <wps:cNvCnPr>
                              <a:cxnSpLocks noChangeShapeType="1"/>
                            </wps:cNvCnPr>
                            <wps:spPr bwMode="auto">
                              <a:xfrm flipH="1" flipV="1">
                                <a:off x="0" y="0"/>
                                <a:ext cx="1365885" cy="1709420"/>
                              </a:xfrm>
                              <a:prstGeom prst="line">
                                <a:avLst/>
                              </a:prstGeom>
                              <a:noFill/>
                              <a:ln w="9525">
                                <a:solidFill>
                                  <a:srgbClr val="000000"/>
                                </a:solidFill>
                                <a:round/>
                              </a:ln>
                            </wps:spPr>
                            <wps:bodyPr/>
                          </wps:wsp>
                        </a:graphicData>
                      </a:graphic>
                    </wp:anchor>
                  </w:drawing>
                </mc:Choice>
                <mc:Fallback>
                  <w:pict>
                    <v:line id="Line 47" o:spid="_x0000_s1026" o:spt="20" style="position:absolute;left:0pt;flip:x y;margin-left:27pt;margin-top:-0.4pt;height:134.6pt;width:107.55pt;z-index:251662336;mso-width-relative:page;mso-height-relative:page;" filled="f" stroked="t" coordsize="21600,21600" o:gfxdata="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d3SnjTAAAACAEAAA8AAAAAAAAA&#10;AQAgAAAAIgAAAGRycy9kb3ducmV2LnhtbFBLAQIUABQAAAAIAIdO4kDwp/sc3QEAALoDAAAOAAAA&#10;AAAAAAEAIAAAACIBAABkcnMvZTJvRG9jLnhtbFBLBQYAAAAABgAGAFkBAABxBQAAAAA=&#10;">
                      <v:fill on="f" focussize="0,0"/>
                      <v:stroke color="#000000" joinstyle="round"/>
                      <v:imagedata o:title=""/>
                      <o:lock v:ext="edit" aspectratio="f"/>
                    </v:line>
                  </w:pict>
                </mc:Fallback>
              </mc:AlternateContent>
            </w:r>
            <w:r>
              <w:rPr>
                <w:rFonts w:ascii="宋体" w:hAnsi="宋体" w:cs="宋体"/>
                <w:bCs/>
                <w:szCs w:val="21"/>
              </w:rPr>
              <mc:AlternateContent>
                <mc:Choice Requires="wps">
                  <w:drawing>
                    <wp:anchor distT="0" distB="0" distL="114300" distR="114300" simplePos="0" relativeHeight="251660288" behindDoc="0" locked="0" layoutInCell="1" allowOverlap="1">
                      <wp:simplePos x="0" y="0"/>
                      <wp:positionH relativeFrom="column">
                        <wp:posOffset>-113030</wp:posOffset>
                      </wp:positionH>
                      <wp:positionV relativeFrom="paragraph">
                        <wp:posOffset>-5080</wp:posOffset>
                      </wp:positionV>
                      <wp:extent cx="635" cy="0"/>
                      <wp:effectExtent l="0" t="0" r="0" b="0"/>
                      <wp:wrapNone/>
                      <wp:docPr id="3" name="Line 45"/>
                      <wp:cNvGraphicFramePr/>
                      <a:graphic xmlns:a="http://schemas.openxmlformats.org/drawingml/2006/main">
                        <a:graphicData uri="http://schemas.microsoft.com/office/word/2010/wordprocessingShape">
                          <wps:wsp>
                            <wps:cNvCnPr>
                              <a:cxnSpLocks noChangeShapeType="1"/>
                            </wps:cNvCnPr>
                            <wps:spPr bwMode="auto">
                              <a:xfrm>
                                <a:off x="0" y="0"/>
                                <a:ext cx="635" cy="0"/>
                              </a:xfrm>
                              <a:prstGeom prst="line">
                                <a:avLst/>
                              </a:prstGeom>
                              <a:noFill/>
                              <a:ln w="9525">
                                <a:solidFill>
                                  <a:srgbClr val="000000"/>
                                </a:solidFill>
                                <a:round/>
                              </a:ln>
                            </wps:spPr>
                            <wps:bodyPr/>
                          </wps:wsp>
                        </a:graphicData>
                      </a:graphic>
                    </wp:anchor>
                  </w:drawing>
                </mc:Choice>
                <mc:Fallback>
                  <w:pict>
                    <v:line id="Line 45" o:spid="_x0000_s1026" o:spt="20" style="position:absolute;left:0pt;margin-left:-8.9pt;margin-top:-0.4pt;height:0pt;width:0.05pt;z-index:251660288;mso-width-relative:page;mso-height-relative:page;" filled="f" stroked="t" coordsize="21600,21600" o:gfxdata="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G0xr40gAAAAcBAAAPAAAAAAAAAAEAIAAAACIAAABkcnMvZG93bnJldi54&#10;bWxQSwECFAAUAAAACACHTuJAqugpCscBAACcAwAADgAAAAAAAAABACAAAAAhAQAAZHJzL2Uyb0Rv&#10;Yy54bWxQSwUGAAAAAAYABgBZAQAAWgUAAAAA&#10;">
                      <v:fill on="f" focussize="0,0"/>
                      <v:stroke color="#000000" joinstyle="round"/>
                      <v:imagedata o:title=""/>
                      <o:lock v:ext="edit" aspectratio="f"/>
                    </v:line>
                  </w:pict>
                </mc:Fallback>
              </mc:AlternateContent>
            </w:r>
            <w:r>
              <w:rPr>
                <w:rFonts w:hint="eastAsia" w:ascii="宋体" w:hAnsi="宋体" w:cs="宋体"/>
                <w:bCs/>
                <w:szCs w:val="21"/>
              </w:rPr>
              <w:t>服</w:t>
            </w:r>
          </w:p>
          <w:p>
            <w:pPr>
              <w:spacing w:line="360" w:lineRule="auto"/>
              <w:ind w:firstLine="210" w:firstLineChars="100"/>
              <w:rPr>
                <w:rFonts w:ascii="宋体" w:hAnsi="宋体" w:cs="宋体"/>
                <w:bCs/>
                <w:szCs w:val="21"/>
              </w:rPr>
            </w:pPr>
            <w:r>
              <w:rPr>
                <w:rFonts w:hint="eastAsia" w:ascii="宋体" w:hAnsi="宋体" w:cs="宋体"/>
                <w:bCs/>
                <w:szCs w:val="21"/>
              </w:rPr>
              <w:t>费　　　  务</w:t>
            </w:r>
          </w:p>
          <w:p>
            <w:pPr>
              <w:spacing w:line="360" w:lineRule="auto"/>
              <w:ind w:firstLine="1260" w:firstLineChars="600"/>
              <w:rPr>
                <w:rFonts w:ascii="宋体" w:hAnsi="宋体" w:cs="宋体"/>
                <w:bCs/>
                <w:szCs w:val="21"/>
              </w:rPr>
            </w:pPr>
            <w:r>
              <w:rPr>
                <w:rFonts w:ascii="宋体" w:hAnsi="宋体" w:cs="宋体"/>
                <w:bCs/>
                <w:szCs w:val="21"/>
              </w:rPr>
              <mc:AlternateContent>
                <mc:Choice Requires="wps">
                  <w:drawing>
                    <wp:anchor distT="0" distB="0" distL="114300" distR="114300" simplePos="0" relativeHeight="251661312" behindDoc="0" locked="0" layoutInCell="1" allowOverlap="1">
                      <wp:simplePos x="0" y="0"/>
                      <wp:positionH relativeFrom="column">
                        <wp:posOffset>-83185</wp:posOffset>
                      </wp:positionH>
                      <wp:positionV relativeFrom="paragraph">
                        <wp:posOffset>90805</wp:posOffset>
                      </wp:positionV>
                      <wp:extent cx="1791970" cy="1054735"/>
                      <wp:effectExtent l="0" t="0" r="17780" b="31115"/>
                      <wp:wrapNone/>
                      <wp:docPr id="2" name="Line 46"/>
                      <wp:cNvGraphicFramePr/>
                      <a:graphic xmlns:a="http://schemas.openxmlformats.org/drawingml/2006/main">
                        <a:graphicData uri="http://schemas.microsoft.com/office/word/2010/wordprocessingShape">
                          <wps:wsp>
                            <wps:cNvCnPr>
                              <a:cxnSpLocks noChangeShapeType="1"/>
                            </wps:cNvCnPr>
                            <wps:spPr bwMode="auto">
                              <a:xfrm flipH="1" flipV="1">
                                <a:off x="0" y="0"/>
                                <a:ext cx="1791970" cy="1054735"/>
                              </a:xfrm>
                              <a:prstGeom prst="line">
                                <a:avLst/>
                              </a:prstGeom>
                              <a:noFill/>
                              <a:ln w="9525">
                                <a:solidFill>
                                  <a:srgbClr val="000000"/>
                                </a:solidFill>
                                <a:round/>
                              </a:ln>
                            </wps:spPr>
                            <wps:bodyPr/>
                          </wps:wsp>
                        </a:graphicData>
                      </a:graphic>
                    </wp:anchor>
                  </w:drawing>
                </mc:Choice>
                <mc:Fallback>
                  <w:pict>
                    <v:line id="Line 46" o:spid="_x0000_s1026" o:spt="20" style="position:absolute;left:0pt;flip:x y;margin-left:-6.55pt;margin-top:7.15pt;height:83.05pt;width:141.1pt;z-index:251661312;mso-width-relative:page;mso-height-relative:page;" filled="f" stroked="t" coordsize="21600,21600" o:gfxdata="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MDkqbVAAAACgEAAA8AAAAAAAAA&#10;AQAgAAAAIgAAAGRycy9kb3ducmV2LnhtbFBLAQIUABQAAAAIAIdO4kBp0q0s2wEAALoDAAAOAAAA&#10;AAAAAAEAIAAAACQBAABkcnMvZTJvRG9jLnhtbFBLBQYAAAAABgAGAFkBAABxBQAAAAA=&#10;">
                      <v:fill on="f" focussize="0,0"/>
                      <v:stroke color="#000000" joinstyle="round"/>
                      <v:imagedata o:title=""/>
                      <o:lock v:ext="edit" aspectratio="f"/>
                    </v:line>
                  </w:pict>
                </mc:Fallback>
              </mc:AlternateContent>
            </w:r>
            <w:r>
              <w:rPr>
                <w:rFonts w:hint="eastAsia" w:ascii="宋体" w:hAnsi="宋体" w:cs="宋体"/>
                <w:bCs/>
                <w:szCs w:val="21"/>
              </w:rPr>
              <w:t>　  类</w:t>
            </w:r>
          </w:p>
          <w:p>
            <w:pPr>
              <w:spacing w:line="360" w:lineRule="auto"/>
              <w:ind w:firstLine="1050" w:firstLineChars="500"/>
              <w:rPr>
                <w:rFonts w:ascii="宋体" w:hAnsi="宋体" w:cs="宋体"/>
                <w:bCs/>
                <w:szCs w:val="21"/>
              </w:rPr>
            </w:pPr>
            <w:r>
              <w:rPr>
                <w:rFonts w:hint="eastAsia" w:ascii="宋体" w:hAnsi="宋体" w:cs="宋体"/>
                <w:bCs/>
                <w:szCs w:val="21"/>
              </w:rPr>
              <w:t>率　     型</w:t>
            </w:r>
          </w:p>
          <w:p>
            <w:pPr>
              <w:spacing w:line="360" w:lineRule="auto"/>
              <w:ind w:firstLine="1050" w:firstLineChars="500"/>
              <w:rPr>
                <w:rFonts w:ascii="宋体" w:hAnsi="宋体" w:cs="宋体"/>
                <w:bCs/>
                <w:szCs w:val="21"/>
              </w:rPr>
            </w:pPr>
            <w:r>
              <w:rPr>
                <w:rFonts w:hint="eastAsia" w:ascii="宋体" w:hAnsi="宋体" w:cs="宋体"/>
                <w:bCs/>
                <w:szCs w:val="21"/>
              </w:rPr>
              <w:t>　　　　</w:t>
            </w:r>
          </w:p>
          <w:p>
            <w:pPr>
              <w:spacing w:line="360" w:lineRule="auto"/>
              <w:rPr>
                <w:rFonts w:ascii="宋体" w:hAnsi="宋体" w:cs="宋体"/>
                <w:bCs/>
                <w:szCs w:val="21"/>
              </w:rPr>
            </w:pPr>
            <w:r>
              <w:rPr>
                <w:rFonts w:hint="eastAsia" w:ascii="宋体" w:hAnsi="宋体" w:cs="宋体"/>
                <w:bCs/>
                <w:szCs w:val="21"/>
              </w:rPr>
              <w:t>成交金额（万元）</w:t>
            </w:r>
          </w:p>
        </w:tc>
        <w:tc>
          <w:tcPr>
            <w:tcW w:w="2410" w:type="dxa"/>
            <w:vAlign w:val="center"/>
          </w:tcPr>
          <w:p>
            <w:pPr>
              <w:spacing w:line="360" w:lineRule="auto"/>
              <w:jc w:val="center"/>
              <w:rPr>
                <w:rFonts w:ascii="宋体" w:hAnsi="宋体" w:cs="宋体"/>
                <w:bCs/>
                <w:szCs w:val="21"/>
              </w:rPr>
            </w:pPr>
            <w:r>
              <w:rPr>
                <w:rFonts w:hint="eastAsia" w:ascii="宋体" w:hAnsi="宋体" w:cs="宋体"/>
                <w:bCs/>
                <w:szCs w:val="21"/>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Pr>
          <w:p>
            <w:pPr>
              <w:adjustRightInd w:val="0"/>
              <w:snapToGrid w:val="0"/>
              <w:spacing w:line="360" w:lineRule="auto"/>
              <w:jc w:val="center"/>
              <w:rPr>
                <w:rFonts w:ascii="宋体" w:hAnsi="宋体" w:cs="宋体"/>
                <w:szCs w:val="21"/>
              </w:rPr>
            </w:pPr>
            <w:r>
              <w:rPr>
                <w:rFonts w:hint="eastAsia" w:ascii="宋体" w:hAnsi="宋体" w:cs="宋体"/>
                <w:szCs w:val="21"/>
              </w:rPr>
              <w:t>100（含，下同）以下</w:t>
            </w:r>
          </w:p>
        </w:tc>
        <w:tc>
          <w:tcPr>
            <w:tcW w:w="2410" w:type="dxa"/>
          </w:tcPr>
          <w:p>
            <w:pPr>
              <w:adjustRightInd w:val="0"/>
              <w:snapToGrid w:val="0"/>
              <w:spacing w:line="360" w:lineRule="auto"/>
              <w:jc w:val="center"/>
              <w:rPr>
                <w:rFonts w:ascii="宋体" w:hAnsi="宋体" w:cs="宋体"/>
                <w:szCs w:val="21"/>
              </w:rPr>
            </w:pPr>
            <w:r>
              <w:rPr>
                <w:rFonts w:hint="eastAsia" w:ascii="宋体" w:hAnsi="宋体" w:cs="宋体"/>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Pr>
          <w:p>
            <w:pPr>
              <w:adjustRightInd w:val="0"/>
              <w:snapToGrid w:val="0"/>
              <w:spacing w:line="360" w:lineRule="auto"/>
              <w:jc w:val="center"/>
              <w:rPr>
                <w:rFonts w:ascii="宋体" w:hAnsi="宋体" w:cs="宋体"/>
                <w:szCs w:val="21"/>
              </w:rPr>
            </w:pPr>
            <w:r>
              <w:rPr>
                <w:rFonts w:hint="eastAsia" w:ascii="宋体" w:hAnsi="宋体" w:cs="宋体"/>
                <w:szCs w:val="21"/>
              </w:rPr>
              <w:t>100-500</w:t>
            </w:r>
          </w:p>
        </w:tc>
        <w:tc>
          <w:tcPr>
            <w:tcW w:w="2410" w:type="dxa"/>
          </w:tcPr>
          <w:p>
            <w:pPr>
              <w:adjustRightInd w:val="0"/>
              <w:snapToGrid w:val="0"/>
              <w:spacing w:line="360" w:lineRule="auto"/>
              <w:jc w:val="center"/>
              <w:rPr>
                <w:rFonts w:ascii="宋体" w:hAnsi="宋体" w:cs="宋体"/>
                <w:szCs w:val="21"/>
              </w:rPr>
            </w:pPr>
            <w:r>
              <w:rPr>
                <w:rFonts w:hint="eastAsia" w:ascii="宋体" w:hAnsi="宋体" w:cs="宋体"/>
                <w:szCs w:val="21"/>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vAlign w:val="center"/>
          </w:tcPr>
          <w:p>
            <w:pPr>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500—1000</w:t>
            </w:r>
          </w:p>
        </w:tc>
        <w:tc>
          <w:tcPr>
            <w:tcW w:w="2410" w:type="dxa"/>
            <w:vAlign w:val="center"/>
          </w:tcPr>
          <w:p>
            <w:pPr>
              <w:adjustRightInd w:val="0"/>
              <w:snapToGrid w:val="0"/>
              <w:spacing w:line="360" w:lineRule="auto"/>
              <w:jc w:val="center"/>
              <w:rPr>
                <w:rFonts w:ascii="宋体" w:hAnsi="宋体" w:cs="宋体"/>
                <w:color w:val="000000"/>
                <w:szCs w:val="21"/>
              </w:rPr>
            </w:pPr>
            <w:r>
              <w:rPr>
                <w:rFonts w:hint="eastAsia" w:ascii="宋体" w:hAnsi="宋体" w:cs="宋体"/>
                <w:color w:val="000000"/>
                <w:szCs w:val="21"/>
              </w:rPr>
              <w:t>0.45</w:t>
            </w: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44" w:type="dxa"/>
          </w:tcPr>
          <w:p>
            <w:pPr>
              <w:adjustRightInd w:val="0"/>
              <w:snapToGrid w:val="0"/>
              <w:spacing w:line="360" w:lineRule="auto"/>
              <w:jc w:val="center"/>
              <w:rPr>
                <w:rFonts w:ascii="宋体" w:hAnsi="宋体" w:cs="宋体"/>
                <w:szCs w:val="21"/>
              </w:rPr>
            </w:pPr>
            <w:r>
              <w:rPr>
                <w:rFonts w:hint="eastAsia" w:ascii="宋体" w:hAnsi="宋体" w:cs="宋体"/>
                <w:szCs w:val="21"/>
              </w:rPr>
              <w:t>……</w:t>
            </w:r>
          </w:p>
        </w:tc>
        <w:tc>
          <w:tcPr>
            <w:tcW w:w="2410" w:type="dxa"/>
          </w:tcPr>
          <w:p>
            <w:pPr>
              <w:adjustRightInd w:val="0"/>
              <w:snapToGrid w:val="0"/>
              <w:spacing w:line="360" w:lineRule="auto"/>
              <w:jc w:val="center"/>
              <w:rPr>
                <w:rFonts w:ascii="宋体" w:hAnsi="宋体" w:cs="宋体"/>
                <w:szCs w:val="21"/>
              </w:rPr>
            </w:pPr>
            <w:r>
              <w:rPr>
                <w:rFonts w:hint="eastAsia" w:ascii="宋体" w:hAnsi="宋体" w:cs="宋体"/>
                <w:szCs w:val="21"/>
              </w:rPr>
              <w:t>……</w:t>
            </w:r>
          </w:p>
        </w:tc>
      </w:tr>
    </w:tbl>
    <w:p>
      <w:pPr>
        <w:adjustRightInd w:val="0"/>
        <w:snapToGrid w:val="0"/>
        <w:spacing w:line="360" w:lineRule="auto"/>
        <w:ind w:firstLine="420" w:firstLineChars="200"/>
        <w:jc w:val="left"/>
        <w:rPr>
          <w:rFonts w:ascii="宋体" w:hAnsi="宋体" w:cs="宋体"/>
          <w:szCs w:val="21"/>
        </w:rPr>
      </w:pPr>
      <w:r>
        <w:rPr>
          <w:rFonts w:hint="eastAsia" w:ascii="宋体" w:hAnsi="宋体" w:cs="宋体"/>
          <w:szCs w:val="21"/>
        </w:rPr>
        <w:t xml:space="preserve">25.2 成交服务收费按差额定率累进法计算。 </w:t>
      </w:r>
    </w:p>
    <w:p>
      <w:pPr>
        <w:adjustRightInd w:val="0"/>
        <w:snapToGrid w:val="0"/>
        <w:spacing w:line="360" w:lineRule="auto"/>
        <w:ind w:firstLine="422" w:firstLineChars="200"/>
        <w:jc w:val="left"/>
        <w:rPr>
          <w:rFonts w:ascii="宋体" w:hAnsi="宋体" w:cs="宋体"/>
          <w:b/>
          <w:szCs w:val="21"/>
        </w:rPr>
      </w:pPr>
      <w:r>
        <w:rPr>
          <w:rFonts w:hint="eastAsia" w:ascii="宋体" w:hAnsi="宋体" w:cs="宋体"/>
          <w:b/>
          <w:szCs w:val="21"/>
        </w:rPr>
        <w:t>25.3 服务费按照上述标准的70%收取并由成交供应商承担，成交供应商应在领取成交通知书时将代理机构服务费付至江苏畅誉项目管理有限公司账户。</w:t>
      </w:r>
      <w:r>
        <w:rPr>
          <w:rFonts w:ascii="宋体" w:hAnsi="宋体" w:cs="宋体"/>
          <w:b/>
          <w:color w:val="FF0000"/>
          <w:szCs w:val="21"/>
        </w:rPr>
        <mc:AlternateContent>
          <mc:Choice Requires="wps">
            <w:drawing>
              <wp:anchor distT="0" distB="0" distL="113665" distR="113665" simplePos="0" relativeHeight="251663360" behindDoc="1" locked="0" layoutInCell="1" allowOverlap="1">
                <wp:simplePos x="0" y="0"/>
                <wp:positionH relativeFrom="page">
                  <wp:posOffset>2054860</wp:posOffset>
                </wp:positionH>
                <wp:positionV relativeFrom="paragraph">
                  <wp:posOffset>224155</wp:posOffset>
                </wp:positionV>
                <wp:extent cx="0" cy="9525"/>
                <wp:effectExtent l="0" t="0" r="19050" b="28575"/>
                <wp:wrapNone/>
                <wp:docPr id="1" name="任意多边形 5"/>
                <wp:cNvGraphicFramePr/>
                <a:graphic xmlns:a="http://schemas.openxmlformats.org/drawingml/2006/main">
                  <a:graphicData uri="http://schemas.microsoft.com/office/word/2010/wordprocessingShape">
                    <wps:wsp>
                      <wps:cNvSpPr/>
                      <wps:spPr bwMode="auto">
                        <a:xfrm>
                          <a:off x="0" y="0"/>
                          <a:ext cx="0" cy="9525"/>
                        </a:xfrm>
                        <a:custGeom>
                          <a:avLst/>
                          <a:gdLst>
                            <a:gd name="T0" fmla="*/ 0 w 20"/>
                            <a:gd name="T1" fmla="*/ 0 h 20"/>
                            <a:gd name="T2" fmla="*/ 0 w 20"/>
                            <a:gd name="T3" fmla="*/ 15 h 20"/>
                          </a:gdLst>
                          <a:ahLst/>
                          <a:cxnLst>
                            <a:cxn ang="0">
                              <a:pos x="T0" y="T1"/>
                            </a:cxn>
                            <a:cxn ang="0">
                              <a:pos x="T2" y="T3"/>
                            </a:cxn>
                          </a:cxnLst>
                          <a:rect l="0" t="0" r="r" b="b"/>
                          <a:pathLst>
                            <a:path w="20" h="20">
                              <a:moveTo>
                                <a:pt x="0" y="0"/>
                              </a:moveTo>
                              <a:lnTo>
                                <a:pt x="0" y="15"/>
                              </a:lnTo>
                            </a:path>
                          </a:pathLst>
                        </a:custGeom>
                        <a:noFill/>
                        <a:ln w="635">
                          <a:solidFill>
                            <a:srgbClr val="000000"/>
                          </a:solidFill>
                          <a:round/>
                        </a:ln>
                      </wps:spPr>
                      <wps:bodyPr rot="0" vert="horz" wrap="square" lIns="91440" tIns="45720" rIns="91440" bIns="45720" anchor="t" anchorCtr="0" upright="1">
                        <a:noAutofit/>
                      </wps:bodyPr>
                    </wps:wsp>
                  </a:graphicData>
                </a:graphic>
              </wp:anchor>
            </w:drawing>
          </mc:Choice>
          <mc:Fallback>
            <w:pict>
              <v:shape id="任意多边形 5" o:spid="_x0000_s1026" o:spt="100" style="position:absolute;left:0pt;margin-left:161.8pt;margin-top:17.65pt;height:0.75pt;width:0pt;mso-position-horizontal-relative:page;z-index:-251653120;mso-width-relative:page;mso-height-relative:page;" filled="f" stroked="t" coordsize="20,20" o:gfxdata="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" path="m0,0l0,15e">
                <v:path o:connectlocs="0,0;0,7143" o:connectangles="0,0"/>
                <v:fill on="f" focussize="0,0"/>
                <v:stroke weight="0.05pt" color="#000000" joinstyle="round"/>
                <v:imagedata o:title=""/>
                <o:lock v:ext="edit" aspectratio="f"/>
              </v:shape>
            </w:pict>
          </mc:Fallback>
        </mc:AlternateContent>
      </w:r>
      <w:r>
        <w:rPr>
          <w:rFonts w:ascii="宋体" w:hAnsi="宋体" w:cs="宋体"/>
          <w:b/>
          <w:color w:val="FF0000"/>
          <w:szCs w:val="21"/>
        </w:rPr>
        <mc:AlternateContent>
          <mc:Choice Requires="wps">
            <w:drawing>
              <wp:anchor distT="0" distB="0" distL="113665" distR="113665" simplePos="0" relativeHeight="251659264" behindDoc="1" locked="0" layoutInCell="1" allowOverlap="1">
                <wp:simplePos x="0" y="0"/>
                <wp:positionH relativeFrom="page">
                  <wp:posOffset>2054860</wp:posOffset>
                </wp:positionH>
                <wp:positionV relativeFrom="paragraph">
                  <wp:posOffset>224155</wp:posOffset>
                </wp:positionV>
                <wp:extent cx="0" cy="9525"/>
                <wp:effectExtent l="0" t="0" r="19050" b="28575"/>
                <wp:wrapNone/>
                <wp:docPr id="5" name="任意多边形 5"/>
                <wp:cNvGraphicFramePr/>
                <a:graphic xmlns:a="http://schemas.openxmlformats.org/drawingml/2006/main">
                  <a:graphicData uri="http://schemas.microsoft.com/office/word/2010/wordprocessingShape">
                    <wps:wsp>
                      <wps:cNvSpPr/>
                      <wps:spPr bwMode="auto">
                        <a:xfrm>
                          <a:off x="0" y="0"/>
                          <a:ext cx="0" cy="9525"/>
                        </a:xfrm>
                        <a:custGeom>
                          <a:avLst/>
                          <a:gdLst>
                            <a:gd name="T0" fmla="*/ 0 w 20"/>
                            <a:gd name="T1" fmla="*/ 0 h 20"/>
                            <a:gd name="T2" fmla="*/ 0 w 20"/>
                            <a:gd name="T3" fmla="*/ 15 h 20"/>
                          </a:gdLst>
                          <a:ahLst/>
                          <a:cxnLst>
                            <a:cxn ang="0">
                              <a:pos x="T0" y="T1"/>
                            </a:cxn>
                            <a:cxn ang="0">
                              <a:pos x="T2" y="T3"/>
                            </a:cxn>
                          </a:cxnLst>
                          <a:rect l="0" t="0" r="r" b="b"/>
                          <a:pathLst>
                            <a:path w="20" h="20">
                              <a:moveTo>
                                <a:pt x="0" y="0"/>
                              </a:moveTo>
                              <a:lnTo>
                                <a:pt x="0" y="15"/>
                              </a:lnTo>
                            </a:path>
                          </a:pathLst>
                        </a:custGeom>
                        <a:noFill/>
                        <a:ln w="635">
                          <a:solidFill>
                            <a:srgbClr val="000000"/>
                          </a:solidFill>
                          <a:round/>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161.8pt;margin-top:17.65pt;height:0.75pt;width:0pt;mso-position-horizontal-relative:page;z-index:-251657216;mso-width-relative:page;mso-height-relative:page;" filled="f" stroked="t" coordsize="20,20" o:gfxdata="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" path="m0,0l0,15e">
                <v:path o:connectlocs="0,0;0,7143" o:connectangles="0,0"/>
                <v:fill on="f" focussize="0,0"/>
                <v:stroke weight="0.05pt" color="#000000" joinstyle="round"/>
                <v:imagedata o:title=""/>
                <o:lock v:ext="edit" aspectratio="f"/>
              </v:shape>
            </w:pict>
          </mc:Fallback>
        </mc:AlternateContent>
      </w:r>
    </w:p>
    <w:p>
      <w:pPr>
        <w:adjustRightInd w:val="0"/>
        <w:snapToGrid w:val="0"/>
        <w:spacing w:line="360" w:lineRule="auto"/>
        <w:ind w:firstLine="420"/>
        <w:rPr>
          <w:rFonts w:ascii="宋体" w:hAnsi="宋体" w:cs="宋体"/>
          <w:kern w:val="0"/>
          <w:szCs w:val="21"/>
        </w:rPr>
      </w:pPr>
      <w:r>
        <w:rPr>
          <w:rFonts w:hint="eastAsia" w:ascii="宋体" w:hAnsi="宋体" w:cs="宋体"/>
          <w:szCs w:val="21"/>
        </w:rPr>
        <w:t>25.4 成交服务收费按上述计算方法不足人民币3000元的，按人民币3000元收取。</w:t>
      </w:r>
    </w:p>
    <w:p>
      <w:pPr>
        <w:adjustRightInd w:val="0"/>
        <w:snapToGrid w:val="0"/>
        <w:spacing w:line="360" w:lineRule="auto"/>
        <w:rPr>
          <w:rFonts w:ascii="宋体" w:hAnsi="宋体" w:cs="宋体"/>
          <w:b/>
          <w:szCs w:val="21"/>
        </w:rPr>
      </w:pPr>
      <w:r>
        <w:rPr>
          <w:rFonts w:hint="eastAsia" w:ascii="宋体" w:hAnsi="宋体" w:cs="宋体"/>
          <w:b/>
          <w:szCs w:val="21"/>
        </w:rPr>
        <w:t>26.合同的签订</w:t>
      </w:r>
    </w:p>
    <w:p>
      <w:pPr>
        <w:adjustRightInd w:val="0"/>
        <w:snapToGrid w:val="0"/>
        <w:spacing w:line="360" w:lineRule="auto"/>
        <w:ind w:firstLine="420" w:firstLineChars="200"/>
        <w:rPr>
          <w:rFonts w:ascii="宋体" w:hAnsi="宋体" w:cs="宋体"/>
          <w:color w:val="FF0000"/>
          <w:szCs w:val="21"/>
        </w:rPr>
      </w:pPr>
      <w:r>
        <w:rPr>
          <w:rFonts w:hint="eastAsia" w:ascii="宋体" w:hAnsi="宋体" w:cs="宋体"/>
          <w:szCs w:val="21"/>
        </w:rPr>
        <w:t>26.1 成交供应商应在成交通知书发出之日起三十日内与采购人签订合同，由此给采购人造成损失的，成交供应商还应承担赔偿责任。</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26.2 竞争性磋商文件、成交供应商的磋商响应文件及磋商过程中有关澄清、承诺文件均应作为合同附件。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26.3 签订合同后，成交供应商不得将相关服务进行转包。未经采购人同意，成交供应商也不得采用分包的形式履行合同，否则采购人有权终止合同，转包或分包造成采购人损失的，成交供应商应承担相应赔偿责任。</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26.4 成交供应商因不可抗力导致无法按期签订合同的，应当在不可抗力发生之日起5日内提出，并提供书面证据，采购人及成交供应商互不承担任何责任及损失。如成交供应商无正当理由未按期签订合同的，视为自动放弃成交资格，采购人有权追究其违约责任，同时采购人</w:t>
      </w:r>
      <w:r>
        <w:rPr>
          <w:rFonts w:hint="eastAsia" w:ascii="宋体" w:hAnsi="宋体" w:cs="宋体"/>
          <w:color w:val="333333"/>
          <w:szCs w:val="21"/>
          <w:shd w:val="clear" w:color="auto" w:fill="FFFFFF"/>
        </w:rPr>
        <w:t>可以按照评审报告推荐的成交候选人名单排序，确定下一候选人为成交供应商，也可以重</w:t>
      </w:r>
      <w:r>
        <w:rPr>
          <w:rFonts w:hint="eastAsia" w:ascii="宋体" w:hAnsi="宋体" w:cs="宋体"/>
          <w:szCs w:val="21"/>
          <w:shd w:val="clear" w:color="auto" w:fill="FFFFFF"/>
        </w:rPr>
        <w:t>新开展采购活动。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26.5 合同履行中，采购人需追加与合同标的相同的货物或服务的，在不改变合同其他条款的前提下，可以与成交供应商协商签订补充合同，但所有补充合同的采购金额不超过原合同金额10%。</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26.6 成交供应商与采购人签订合同后的2个工作日内，市本级预算单位采购人在“财政一体化系统”、县区级预算单位或者驻常高校等单位采购人在“政府采购交易管理平台”录入合同信息并上传附件，上传后同步在常州市政府采购网公布项目合同。</w:t>
      </w:r>
    </w:p>
    <w:p>
      <w:pPr>
        <w:adjustRightInd w:val="0"/>
        <w:snapToGrid w:val="0"/>
        <w:spacing w:line="360" w:lineRule="auto"/>
        <w:rPr>
          <w:rFonts w:ascii="宋体" w:hAnsi="宋体" w:cs="宋体"/>
          <w:b/>
          <w:szCs w:val="21"/>
        </w:rPr>
      </w:pPr>
      <w:r>
        <w:rPr>
          <w:rFonts w:hint="eastAsia" w:ascii="宋体" w:hAnsi="宋体" w:cs="宋体"/>
          <w:b/>
          <w:szCs w:val="21"/>
        </w:rPr>
        <w:t>27.政府采购政策功能</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27.1 强制采购节能产品（《节能产品政府采购清单》中以“★”标注的）、强制采购信息安全产品、优先采购环境标志产品。节能产品指财政部和发改委公布的《节能产品政府采购品目清单》的产品；信息安全产品指列入国家质检总局、国家认监委《信息安全产品强制性认证目录》，并获得强制性产品认证证书的产品；环境标志产品指财政部和国家环境保护部公布的《环境标志产品政府采购品目清单》的产品。</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27.2 根据《政府采购促进中小企业发展管理办法》的通知（财库〔2020〕46号），小型、微型企业在评审时享受扶持政策。小、微企业划型标准见《关于印发中小企业划型标准规定的通知》（工信部联企业[2011]300号）。</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27.3 常州市中小企业政府采购信用融资。根据《常州市财政局 中国人民银行常州市中心支行关于进一步推进政府采购信用融资工作的通知》（常财购〔2021〕13号）文件精神，我市实行政府采购信用融资，将信用作为政策工具引入政府采购领域，金融机构根据政府采购项目成交通知书或成交合同，为成交中小企业供应商提供相应额度贷款的融资模式。</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（1）申请条件及操作流程等事项详见文件。</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（2）合作金融机构：登录“政采贷平台”等平台后在系统中查看和选择。</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融资申请：有融资需求的供应商可手机登录“政采贷平台”（https://www.cz-credit.cn/zqt/）或直接扫描二维码进行注册，也可通过“常州市政府采购网—政采贷”（http://zfcg.changzhou.gov.cn/）、“常州市金融服务平台—政采贷”（http://www.czcycx.com/financial/fIndex）页面登录注册；根据自身需要，自主选择金融机构及其融资产品，凭政府采购成交通知书或政府采购合同在线向金融机构提出融资申请。</w:t>
      </w:r>
    </w:p>
    <w:p>
      <w:pPr>
        <w:adjustRightInd w:val="0"/>
        <w:snapToGrid w:val="0"/>
        <w:spacing w:line="360" w:lineRule="auto"/>
        <w:rPr>
          <w:rFonts w:ascii="宋体" w:hAnsi="宋体" w:cs="宋体"/>
          <w:b/>
          <w:szCs w:val="21"/>
        </w:rPr>
      </w:pPr>
      <w:r>
        <w:rPr>
          <w:rFonts w:hint="eastAsia" w:ascii="宋体" w:hAnsi="宋体" w:cs="宋体"/>
          <w:b/>
          <w:szCs w:val="21"/>
        </w:rPr>
        <w:t>28.质疑与投诉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28.1 质疑</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供应商认为采购文件、采购过程和采购结果使自己的权益受到损害的，可以在知道或应知其权益受到损害之日起七个工作日内，以书面形式向代理机构或采购人提出质疑。供应商应当在法定质疑期内一次性提出针对同一采购程序环节的质疑，否则采购代理机构有权不予接受。供应商提出质疑应当提交质疑函和必要的证明材料。</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质疑函应按照财政部制定的质疑函范本的格式和要求制作；供应商为自然人的，应当由本人签字；供应商为法人或者其他组织的，应当由法定代表人、主要负责人，或者其授权代表签字或者盖章，并加盖公章。</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质疑函应当现场书面提交至采购代理机构联系人处，提交时应出示有效身份证明。</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28.2 投诉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供应商对采购代理机构的答复不满意或者采购代理机构未在规定的时间内作出答复的，可以在答复期满后十五个工作日内向同级政府采购监督管理部门投诉。</w:t>
      </w:r>
    </w:p>
    <w:p>
      <w:pPr>
        <w:adjustRightInd w:val="0"/>
        <w:snapToGrid w:val="0"/>
        <w:spacing w:line="360" w:lineRule="auto"/>
        <w:rPr>
          <w:rFonts w:ascii="宋体" w:hAnsi="宋体" w:cs="宋体"/>
          <w:b/>
          <w:szCs w:val="21"/>
        </w:rPr>
      </w:pPr>
      <w:r>
        <w:rPr>
          <w:rFonts w:hint="eastAsia" w:ascii="宋体" w:hAnsi="宋体" w:cs="宋体"/>
          <w:b/>
          <w:szCs w:val="21"/>
        </w:rPr>
        <w:t>29.诚实信用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29.1 供应商之间不得相互串通报价，不得妨碍其他供应商的公平竞争，不得损害采购人和其他供应商的合法权益。</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29.2 供应商不得以向代理机构工作人员、磋商小组成员行贿或者采取其他不正当手段谋取中标。经查实供应商有此行为的，政府采购管理部门将供应商列入不良行为记录名单，按照《中华人民共和国政府采购法》有关规定处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29.3 供应商不得虚假质疑和恶意质疑，并对质疑内容的真实性承担责任。供应商或者其他利害关系人通过捏造事实、伪造证明材料等方式提出异议或投诉，阻碍采购活动正常进行的，属于严重不良行为，代理机构将提请财政部门将其列入不良行为记录名单，并依法予以处罚。</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29.4 供应商不得虚假承诺，否则，按照提供虚假材料谋取中标成交处理。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29.5 供应商应自觉遵守开标、评标纪律，扰乱开标评标现场秩序的，属于失信行为，根据《江苏省政府采购供应商监督管理暂行办法》，失信行为将被记入供应商诚信档案。</w:t>
      </w:r>
    </w:p>
    <w:p>
      <w:pPr>
        <w:adjustRightInd w:val="0"/>
        <w:snapToGrid w:val="0"/>
        <w:spacing w:line="360" w:lineRule="auto"/>
        <w:rPr>
          <w:rFonts w:ascii="宋体" w:hAnsi="宋体" w:cs="宋体"/>
          <w:b/>
          <w:szCs w:val="21"/>
        </w:rPr>
      </w:pPr>
      <w:r>
        <w:rPr>
          <w:rFonts w:hint="eastAsia" w:ascii="宋体" w:hAnsi="宋体" w:cs="宋体"/>
          <w:b/>
          <w:szCs w:val="21"/>
        </w:rPr>
        <w:t>30.未尽事宜</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按《中华人民共和国政府采购法》、《中华人民共和国政府采购法实施条例》及其他有关的法律法规的规定执行。</w:t>
      </w:r>
    </w:p>
    <w:p>
      <w:pPr>
        <w:spacing w:line="360" w:lineRule="auto"/>
        <w:rPr>
          <w:rFonts w:ascii="宋体" w:hAnsi="宋体" w:cs="宋体"/>
        </w:rPr>
      </w:pPr>
      <w:bookmarkStart w:id="2" w:name="_Toc17537928"/>
      <w:r>
        <w:rPr>
          <w:rFonts w:hint="eastAsia" w:ascii="宋体" w:hAnsi="宋体" w:cs="宋体"/>
        </w:rPr>
        <w:br w:type="page"/>
      </w:r>
    </w:p>
    <w:bookmarkEnd w:id="2"/>
    <w:p>
      <w:pPr>
        <w:pStyle w:val="3"/>
        <w:spacing w:line="360" w:lineRule="auto"/>
        <w:rPr>
          <w:rFonts w:ascii="宋体" w:hAnsi="宋体" w:cs="宋体"/>
        </w:rPr>
      </w:pPr>
      <w:r>
        <w:rPr>
          <w:rFonts w:hint="eastAsia" w:ascii="宋体" w:hAnsi="宋体" w:cs="宋体"/>
        </w:rPr>
        <w:t>第二章  采购项目及技术要求</w:t>
      </w:r>
    </w:p>
    <w:p>
      <w:pPr>
        <w:spacing w:line="360" w:lineRule="auto"/>
        <w:ind w:right="210" w:firstLine="422" w:firstLineChars="200"/>
        <w:jc w:val="left"/>
        <w:rPr>
          <w:rFonts w:ascii="宋体" w:hAnsi="宋体" w:cs="宋体"/>
          <w:szCs w:val="21"/>
        </w:rPr>
      </w:pPr>
      <w:r>
        <w:rPr>
          <w:rFonts w:hint="eastAsia" w:ascii="宋体" w:hAnsi="宋体" w:cs="宋体"/>
          <w:b/>
          <w:bCs/>
          <w:szCs w:val="21"/>
        </w:rPr>
        <w:t>一、采购内容及要求</w:t>
      </w:r>
    </w:p>
    <w:p>
      <w:pPr>
        <w:spacing w:line="360" w:lineRule="auto"/>
        <w:ind w:right="210" w:firstLine="422" w:firstLineChars="200"/>
        <w:jc w:val="left"/>
        <w:rPr>
          <w:rFonts w:ascii="宋体" w:hAnsi="宋体" w:cs="宋体"/>
          <w:b/>
          <w:szCs w:val="21"/>
        </w:rPr>
      </w:pPr>
      <w:r>
        <w:rPr>
          <w:rFonts w:hint="eastAsia" w:ascii="宋体" w:hAnsi="宋体" w:cs="宋体"/>
          <w:b/>
          <w:szCs w:val="21"/>
        </w:rPr>
        <w:t>（一）项目概况</w:t>
      </w:r>
    </w:p>
    <w:p>
      <w:pPr>
        <w:tabs>
          <w:tab w:val="left" w:pos="284"/>
        </w:tabs>
        <w:spacing w:line="360" w:lineRule="auto"/>
        <w:ind w:firstLine="420" w:firstLineChars="200"/>
        <w:rPr>
          <w:rFonts w:ascii="宋体" w:hAnsi="宋体" w:cs="宋体"/>
          <w:color w:val="000000"/>
          <w:szCs w:val="21"/>
        </w:rPr>
      </w:pPr>
      <w:r>
        <w:rPr>
          <w:rFonts w:hint="eastAsia" w:ascii="宋体" w:hAnsi="宋体" w:cs="宋体"/>
          <w:color w:val="000000"/>
          <w:szCs w:val="21"/>
        </w:rPr>
        <w:t>为贯彻落实《土地管理法》和自然资源部印发的《关于土地征收成片开发标准（试行）》（自然资规〔2020〕5 号）等有关文件精神，进一步做好土地征收工作，有序开展天宁区土地征收成片开发方案编制，特组织天宁区土地征收成片开发方案项目编制工作。</w:t>
      </w:r>
    </w:p>
    <w:p>
      <w:pPr>
        <w:spacing w:line="360" w:lineRule="auto"/>
        <w:ind w:right="210" w:firstLine="420" w:firstLineChars="200"/>
        <w:jc w:val="left"/>
        <w:rPr>
          <w:rFonts w:ascii="宋体" w:hAnsi="宋体" w:cs="宋体"/>
          <w:bCs/>
          <w:szCs w:val="21"/>
        </w:rPr>
      </w:pPr>
      <w:r>
        <w:rPr>
          <w:rFonts w:hint="eastAsia" w:ascii="宋体" w:hAnsi="宋体" w:cs="宋体"/>
          <w:bCs/>
          <w:szCs w:val="21"/>
        </w:rPr>
        <w:t>1.区位与交通条件</w:t>
      </w:r>
    </w:p>
    <w:p>
      <w:pPr>
        <w:spacing w:line="360" w:lineRule="auto"/>
        <w:ind w:right="210" w:firstLine="420" w:firstLineChars="200"/>
        <w:jc w:val="left"/>
        <w:rPr>
          <w:rFonts w:ascii="宋体" w:hAnsi="宋体" w:cs="宋体"/>
          <w:bCs/>
          <w:szCs w:val="21"/>
        </w:rPr>
      </w:pPr>
      <w:r>
        <w:rPr>
          <w:rFonts w:hint="eastAsia" w:ascii="宋体" w:hAnsi="宋体" w:cs="宋体"/>
          <w:bCs/>
          <w:szCs w:val="21"/>
        </w:rPr>
        <w:t>常州市天宁区位于常州市中部，东连经开区，西接钟楼区，南邻武进区，北靠新北区，京杭运河、沪宁铁路、沪宁高速公路、312国道穿境而过，距常州奔牛机场15公里，距常州国际机场39公里，距南京禄口国际机场80公里。</w:t>
      </w:r>
    </w:p>
    <w:p>
      <w:pPr>
        <w:spacing w:line="360" w:lineRule="auto"/>
        <w:ind w:right="210" w:firstLine="420" w:firstLineChars="200"/>
        <w:jc w:val="left"/>
        <w:rPr>
          <w:rFonts w:ascii="宋体" w:hAnsi="宋体" w:cs="宋体"/>
          <w:bCs/>
          <w:szCs w:val="21"/>
        </w:rPr>
      </w:pPr>
      <w:r>
        <w:rPr>
          <w:rFonts w:hint="eastAsia" w:ascii="宋体" w:hAnsi="宋体" w:cs="宋体"/>
          <w:bCs/>
          <w:szCs w:val="21"/>
        </w:rPr>
        <w:t>2.社会经济状况</w:t>
      </w:r>
    </w:p>
    <w:p>
      <w:pPr>
        <w:spacing w:line="360" w:lineRule="auto"/>
        <w:ind w:right="210" w:firstLine="420" w:firstLineChars="200"/>
        <w:jc w:val="left"/>
        <w:rPr>
          <w:rFonts w:ascii="宋体" w:hAnsi="宋体" w:cs="宋体"/>
          <w:bCs/>
          <w:szCs w:val="21"/>
        </w:rPr>
      </w:pPr>
      <w:r>
        <w:rPr>
          <w:rFonts w:hint="eastAsia" w:ascii="宋体" w:hAnsi="宋体" w:cs="宋体"/>
          <w:bCs/>
          <w:szCs w:val="21"/>
        </w:rPr>
        <w:t>2021年，常州天宁区积极贯彻落实中央、省、市决策部署，努力打造“长三角三新经济高地、现代化城乡治理样板”，大力实施“532”发展战略，经济社会发展各项工作稳步开展，三次产业持续发展壮大，三大需求活力持续激发，经济总量逐步提升、居民收入增势稳健，经济发展韧性持续显现，经济运行稳中加固。</w:t>
      </w:r>
    </w:p>
    <w:p>
      <w:pPr>
        <w:spacing w:line="360" w:lineRule="auto"/>
        <w:ind w:right="210" w:firstLine="420" w:firstLineChars="200"/>
        <w:jc w:val="left"/>
        <w:rPr>
          <w:rFonts w:ascii="宋体" w:hAnsi="宋体" w:cs="宋体"/>
          <w:bCs/>
          <w:szCs w:val="21"/>
        </w:rPr>
      </w:pPr>
      <w:r>
        <w:rPr>
          <w:rFonts w:hint="eastAsia" w:ascii="宋体" w:hAnsi="宋体" w:cs="宋体"/>
          <w:bCs/>
          <w:szCs w:val="21"/>
        </w:rPr>
        <w:t>根据地区生产总值统一核算结果，2021年，全区实现地区生产总值888.4亿元，按可比价计算，同比增长7.3%，两年平均增长5.4%，超过目标任务0.8个百分点，五年来首次完成年度GDP目标。分三次产业结构来看，第一产业实现增加值7.4亿元，同比下降2.3%，两年平均下降1.2%；第二产业实现增加值228.2亿元，同比增长7.4%，两年平均增长4.1%；第三产业实现增加值652.8亿元，同比增长7.4%，两年平均增长5.9%，服务业增加值占全区地区生产总值比重为73.5%，继续位列全市首位。三次产业结构为0.8:25.7:73.5。</w:t>
      </w:r>
    </w:p>
    <w:p>
      <w:pPr>
        <w:spacing w:line="360" w:lineRule="auto"/>
        <w:ind w:right="210" w:firstLine="420" w:firstLineChars="200"/>
        <w:jc w:val="left"/>
        <w:rPr>
          <w:rFonts w:ascii="宋体" w:hAnsi="宋体" w:cs="宋体"/>
          <w:bCs/>
          <w:szCs w:val="21"/>
        </w:rPr>
      </w:pPr>
      <w:r>
        <w:rPr>
          <w:rFonts w:hint="eastAsia" w:ascii="宋体" w:hAnsi="宋体" w:cs="宋体"/>
          <w:bCs/>
          <w:szCs w:val="21"/>
        </w:rPr>
        <w:t>3.土地利用现状</w:t>
      </w:r>
    </w:p>
    <w:p>
      <w:pPr>
        <w:spacing w:line="360" w:lineRule="auto"/>
        <w:ind w:right="210" w:firstLine="420" w:firstLineChars="200"/>
        <w:jc w:val="left"/>
        <w:rPr>
          <w:rFonts w:ascii="宋体" w:hAnsi="宋体" w:cs="宋体"/>
          <w:bCs/>
          <w:szCs w:val="21"/>
        </w:rPr>
      </w:pPr>
      <w:r>
        <w:rPr>
          <w:rFonts w:hint="eastAsia" w:ascii="宋体" w:hAnsi="宋体" w:cs="宋体"/>
          <w:bCs/>
          <w:szCs w:val="21"/>
        </w:rPr>
        <w:t>根据常州市天宁区2020年国土变更调查数据，全区土地总面积 15484.2422 公顷。农用地面积5806.5071 公顷，占全区土地总面积的 37.50%，其中耕地 2065.1438公顷，占农用地比重为35.57%；建设用地面积8296.4627公顷，占全区土地总面积的53.58%；未利用地面积1381.2724公顷，占全区土地总面积的 8.92%。</w:t>
      </w:r>
    </w:p>
    <w:p>
      <w:pPr>
        <w:spacing w:line="360" w:lineRule="auto"/>
        <w:ind w:right="210" w:firstLine="422" w:firstLineChars="200"/>
        <w:jc w:val="left"/>
        <w:rPr>
          <w:rFonts w:ascii="宋体" w:hAnsi="宋体" w:cs="宋体"/>
          <w:b/>
          <w:szCs w:val="21"/>
        </w:rPr>
      </w:pPr>
      <w:r>
        <w:rPr>
          <w:rFonts w:hint="eastAsia" w:ascii="宋体" w:hAnsi="宋体" w:cs="宋体"/>
          <w:b/>
          <w:szCs w:val="21"/>
        </w:rPr>
        <w:t xml:space="preserve"> （二）土地征收成片开发方案编制原则</w:t>
      </w:r>
    </w:p>
    <w:p>
      <w:pPr>
        <w:spacing w:line="360" w:lineRule="auto"/>
        <w:ind w:right="210" w:firstLine="420" w:firstLineChars="200"/>
        <w:jc w:val="left"/>
        <w:rPr>
          <w:rFonts w:ascii="宋体" w:hAnsi="宋体" w:cs="宋体"/>
          <w:bCs/>
          <w:szCs w:val="21"/>
        </w:rPr>
      </w:pPr>
      <w:r>
        <w:rPr>
          <w:rFonts w:hint="eastAsia" w:ascii="宋体" w:hAnsi="宋体" w:cs="宋体"/>
          <w:bCs/>
          <w:szCs w:val="21"/>
        </w:rPr>
        <w:t>编制天宁区土地征收成片开发方案，应当采用上下联动的方式，按照以下原则开展编制工作，着力强化其战略性、科学性、协调性和可操作性。</w:t>
      </w:r>
    </w:p>
    <w:p>
      <w:pPr>
        <w:spacing w:line="360" w:lineRule="auto"/>
        <w:ind w:right="210" w:firstLine="420" w:firstLineChars="200"/>
        <w:jc w:val="left"/>
        <w:rPr>
          <w:rFonts w:ascii="宋体" w:hAnsi="宋体" w:cs="宋体"/>
          <w:bCs/>
          <w:szCs w:val="21"/>
        </w:rPr>
      </w:pPr>
      <w:r>
        <w:rPr>
          <w:rFonts w:hint="eastAsia" w:ascii="宋体" w:hAnsi="宋体" w:cs="宋体"/>
          <w:bCs/>
          <w:szCs w:val="21"/>
        </w:rPr>
        <w:t>（1）符合公共利益原则</w:t>
      </w:r>
    </w:p>
    <w:p>
      <w:pPr>
        <w:spacing w:line="360" w:lineRule="auto"/>
        <w:ind w:right="210" w:firstLine="420" w:firstLineChars="200"/>
        <w:jc w:val="left"/>
        <w:rPr>
          <w:rFonts w:ascii="宋体" w:hAnsi="宋体" w:cs="宋体"/>
          <w:bCs/>
          <w:szCs w:val="21"/>
        </w:rPr>
      </w:pPr>
      <w:r>
        <w:rPr>
          <w:rFonts w:hint="eastAsia" w:ascii="宋体" w:hAnsi="宋体" w:cs="宋体"/>
          <w:bCs/>
          <w:szCs w:val="21"/>
        </w:rPr>
        <w:t>以符合公共利益需要为前提，合理安排成片开发范围内基础设施、公共服务设施等公益性用地布局，确保各类项目按期建设，切实促进社会公平，有效增进民生福祉。</w:t>
      </w:r>
    </w:p>
    <w:p>
      <w:pPr>
        <w:spacing w:line="360" w:lineRule="auto"/>
        <w:ind w:right="210" w:firstLine="420" w:firstLineChars="200"/>
        <w:jc w:val="left"/>
        <w:rPr>
          <w:rFonts w:ascii="宋体" w:hAnsi="宋体" w:cs="宋体"/>
          <w:bCs/>
          <w:szCs w:val="21"/>
        </w:rPr>
      </w:pPr>
      <w:r>
        <w:rPr>
          <w:rFonts w:hint="eastAsia" w:ascii="宋体" w:hAnsi="宋体" w:cs="宋体"/>
          <w:bCs/>
          <w:szCs w:val="21"/>
        </w:rPr>
        <w:t>（2）以人民为中心原则</w:t>
      </w:r>
    </w:p>
    <w:p>
      <w:pPr>
        <w:spacing w:line="360" w:lineRule="auto"/>
        <w:ind w:right="210" w:firstLine="420" w:firstLineChars="200"/>
        <w:jc w:val="left"/>
        <w:rPr>
          <w:rFonts w:ascii="宋体" w:hAnsi="宋体" w:cs="宋体"/>
          <w:bCs/>
          <w:szCs w:val="21"/>
        </w:rPr>
      </w:pPr>
      <w:r>
        <w:rPr>
          <w:rFonts w:hint="eastAsia" w:ascii="宋体" w:hAnsi="宋体" w:cs="宋体"/>
          <w:bCs/>
          <w:szCs w:val="21"/>
        </w:rPr>
        <w:t>应当坚持新发展理念，以人民为中心，坚决维护被征地农民和被征地农村集体经济组织的合法权益，切实落实被征地农民生活和长远生计的各项保障措施。</w:t>
      </w:r>
    </w:p>
    <w:p>
      <w:pPr>
        <w:spacing w:line="360" w:lineRule="auto"/>
        <w:ind w:right="210" w:firstLine="420" w:firstLineChars="200"/>
        <w:jc w:val="left"/>
        <w:rPr>
          <w:rFonts w:ascii="宋体" w:hAnsi="宋体" w:cs="宋体"/>
          <w:bCs/>
          <w:szCs w:val="21"/>
        </w:rPr>
      </w:pPr>
      <w:r>
        <w:rPr>
          <w:rFonts w:hint="eastAsia" w:ascii="宋体" w:hAnsi="宋体" w:cs="宋体"/>
          <w:bCs/>
          <w:szCs w:val="21"/>
        </w:rPr>
        <w:t>（3）依法依规原则</w:t>
      </w:r>
    </w:p>
    <w:p>
      <w:pPr>
        <w:spacing w:line="360" w:lineRule="auto"/>
        <w:ind w:right="210" w:firstLine="420" w:firstLineChars="200"/>
        <w:jc w:val="left"/>
        <w:rPr>
          <w:rFonts w:ascii="宋体" w:hAnsi="宋体" w:cs="宋体"/>
          <w:bCs/>
          <w:szCs w:val="21"/>
        </w:rPr>
      </w:pPr>
      <w:r>
        <w:rPr>
          <w:rFonts w:hint="eastAsia" w:ascii="宋体" w:hAnsi="宋体" w:cs="宋体"/>
          <w:bCs/>
          <w:szCs w:val="21"/>
        </w:rPr>
        <w:t>范围选址应符合国土空间规划管控要求。开发建设内容应符合国民经济和社会发展规划，并纳入经同级人大审议通过的国民经济和社会发展年度计划。</w:t>
      </w:r>
    </w:p>
    <w:p>
      <w:pPr>
        <w:spacing w:line="360" w:lineRule="auto"/>
        <w:ind w:right="210" w:firstLine="420" w:firstLineChars="200"/>
        <w:jc w:val="left"/>
        <w:rPr>
          <w:rFonts w:ascii="宋体" w:hAnsi="宋体" w:cs="宋体"/>
          <w:bCs/>
          <w:szCs w:val="21"/>
        </w:rPr>
      </w:pPr>
      <w:r>
        <w:rPr>
          <w:rFonts w:hint="eastAsia" w:ascii="宋体" w:hAnsi="宋体" w:cs="宋体"/>
          <w:bCs/>
          <w:szCs w:val="21"/>
        </w:rPr>
        <w:t>（4）保护优先原则</w:t>
      </w:r>
    </w:p>
    <w:p>
      <w:pPr>
        <w:spacing w:line="360" w:lineRule="auto"/>
        <w:ind w:right="210" w:firstLine="420" w:firstLineChars="200"/>
        <w:jc w:val="left"/>
        <w:rPr>
          <w:rFonts w:ascii="宋体" w:hAnsi="宋体" w:cs="宋体"/>
          <w:bCs/>
          <w:szCs w:val="21"/>
        </w:rPr>
      </w:pPr>
      <w:r>
        <w:rPr>
          <w:rFonts w:hint="eastAsia" w:ascii="宋体" w:hAnsi="宋体" w:cs="宋体"/>
          <w:bCs/>
          <w:szCs w:val="21"/>
        </w:rPr>
        <w:t>应坚持节约资源和保护环境的基本国策，落实最严格的生态环境保护制度、耕地保护制度和生态空间管控制度，尽量避让、少占优质耕地资源，不得占用永久基本农田和生态保护红线，确保生态安全。</w:t>
      </w:r>
    </w:p>
    <w:p>
      <w:pPr>
        <w:spacing w:line="360" w:lineRule="auto"/>
        <w:ind w:right="210" w:firstLine="420" w:firstLineChars="200"/>
        <w:jc w:val="left"/>
        <w:rPr>
          <w:rFonts w:ascii="宋体" w:hAnsi="宋体" w:cs="宋体"/>
          <w:bCs/>
          <w:szCs w:val="21"/>
        </w:rPr>
      </w:pPr>
      <w:r>
        <w:rPr>
          <w:rFonts w:hint="eastAsia" w:ascii="宋体" w:hAnsi="宋体" w:cs="宋体"/>
          <w:bCs/>
          <w:szCs w:val="21"/>
        </w:rPr>
        <w:t>（5）集约高效原则</w:t>
      </w:r>
    </w:p>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szCs w:val="21"/>
        </w:rPr>
        <w:t>应结合实际用地需求，因地制宜合理安排建设用地规模，统筹规划片区内公共服务、基础设施、生产</w:t>
      </w:r>
      <w:r>
        <w:rPr>
          <w:rFonts w:hint="eastAsia" w:ascii="宋体" w:hAnsi="宋体" w:cs="宋体"/>
          <w:bCs/>
          <w:color w:val="000000" w:themeColor="text1"/>
          <w:szCs w:val="21"/>
          <w14:textFill>
            <w14:solidFill>
              <w14:schemeClr w14:val="tx1"/>
            </w14:solidFill>
          </w14:textFill>
        </w:rPr>
        <w:t>生活各类用地，注重资源节约集约利用和土地综合利用效益提升，促进当地经济社会可持续发展。</w:t>
      </w:r>
    </w:p>
    <w:p>
      <w:pPr>
        <w:spacing w:line="360" w:lineRule="auto"/>
        <w:ind w:right="210" w:firstLine="422" w:firstLineChars="200"/>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（三）工作内容及要求</w:t>
      </w:r>
    </w:p>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依据《江苏省自然资源厅关于开展土地征收成片开发方案编制工作的通知》（苏自然资函〔2021〕15 号）、江苏省自然资源厅关于加快推进土地征收成片开发方案编制工作的通知》（苏自然资发〔2021〕138号）等相关文件，结合天宁区各镇（街道）实际情况，编制天宁区土地征收成片开发方案。具体内容如下：</w:t>
      </w:r>
    </w:p>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1、梳理近期重点项目建设需求，收集、分析各类基础数据及相关资料，依据控制性详细规划划定土地征收成片开发范围并进行分析评估。</w:t>
      </w:r>
    </w:p>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2</w:t>
      </w:r>
      <w:r>
        <w:rPr>
          <w:rFonts w:hint="eastAsia" w:ascii="宋体" w:hAnsi="宋体" w:cs="宋体"/>
          <w:bCs/>
          <w:color w:val="000000" w:themeColor="text1"/>
          <w:szCs w:val="21"/>
          <w14:textFill>
            <w14:solidFill>
              <w14:schemeClr w14:val="tx1"/>
            </w14:solidFill>
          </w14:textFill>
        </w:rPr>
        <w:t>、梳理片区土地开发利用现状。确定片区位置与范围、分析土地利用现状结构、占用耕地情况、开发建设状况、基础设施条件以及限制开发建设情况。</w:t>
      </w:r>
    </w:p>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3</w:t>
      </w:r>
      <w:r>
        <w:rPr>
          <w:rFonts w:hint="eastAsia" w:ascii="宋体" w:hAnsi="宋体" w:cs="宋体"/>
          <w:bCs/>
          <w:color w:val="000000" w:themeColor="text1"/>
          <w:szCs w:val="21"/>
          <w14:textFill>
            <w14:solidFill>
              <w14:schemeClr w14:val="tx1"/>
            </w14:solidFill>
          </w14:textFill>
        </w:rPr>
        <w:t>、论证成片开发的必要性。确定片区功能定位及主要用途、分析符合公共利益性情况、论述开发建设意义与必要性。</w:t>
      </w:r>
    </w:p>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4、分析开发片区合规性分析。与国民经济和社会发展规划及年度计划、国土空间规划、生态环境管控等相关规划相衔接，确保符合规划要求。</w:t>
      </w:r>
    </w:p>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5、确定拟建项目及时序安排。包括片区内拟安排的建设项目及开发时序、公益性用地情况和土地征收年度实施计划。</w:t>
      </w:r>
    </w:p>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6、制定被征地农民权益保障内。分析拟征收集体土地规模、涉及村组、被征地农民数量，阐述方案意见征询情况、制定被征地农民权益保障措施。</w:t>
      </w:r>
    </w:p>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7、开展资金预算及效益评估。分析片区内资金支出、预计收入，测算资金平衡情况，并对成片开发做经济、社会、生态效益评估。</w:t>
      </w:r>
    </w:p>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8、制定方案实施保障措施。包括组织保障、制度保障、资金保障、资源保护、监管保障及规划宣传保障等方面。</w:t>
      </w:r>
    </w:p>
    <w:p>
      <w:pPr>
        <w:spacing w:line="360" w:lineRule="auto"/>
        <w:ind w:right="210" w:firstLine="422" w:firstLineChars="200"/>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（四）方案的范围及期限</w:t>
      </w:r>
    </w:p>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范围：本次方案编制范围为以下6个片区。</w:t>
      </w:r>
    </w:p>
    <w:tbl>
      <w:tblPr>
        <w:tblStyle w:val="22"/>
        <w:tblW w:w="8773" w:type="dxa"/>
        <w:tblInd w:w="93" w:type="dxa"/>
        <w:tblLayout w:type="autofit"/>
        <w:tblCellMar>
          <w:top w:w="0" w:type="dxa"/>
          <w:left w:w="108" w:type="dxa"/>
          <w:bottom w:w="0" w:type="dxa"/>
          <w:right w:w="108" w:type="dxa"/>
        </w:tblCellMar>
      </w:tblPr>
      <w:tblGrid>
        <w:gridCol w:w="3261"/>
        <w:gridCol w:w="2841"/>
        <w:gridCol w:w="2671"/>
      </w:tblGrid>
      <w:tr>
        <w:tblPrEx>
          <w:tblCellMar>
            <w:top w:w="0" w:type="dxa"/>
            <w:left w:w="108" w:type="dxa"/>
            <w:bottom w:w="0" w:type="dxa"/>
            <w:right w:w="108" w:type="dxa"/>
          </w:tblCellMar>
        </w:tblPrEx>
        <w:trPr>
          <w:trHeight w:val="750" w:hRule="atLeast"/>
        </w:trPr>
        <w:tc>
          <w:tcPr>
            <w:tcW w:w="326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开发片区名称</w:t>
            </w:r>
          </w:p>
        </w:tc>
        <w:tc>
          <w:tcPr>
            <w:tcW w:w="28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开发片区编号</w:t>
            </w:r>
          </w:p>
        </w:tc>
        <w:tc>
          <w:tcPr>
            <w:tcW w:w="2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土地面积（公顷）</w:t>
            </w:r>
          </w:p>
        </w:tc>
      </w:tr>
      <w:tr>
        <w:tblPrEx>
          <w:tblCellMar>
            <w:top w:w="0" w:type="dxa"/>
            <w:left w:w="108" w:type="dxa"/>
            <w:bottom w:w="0" w:type="dxa"/>
            <w:right w:w="108" w:type="dxa"/>
          </w:tblCellMar>
        </w:tblPrEx>
        <w:trPr>
          <w:trHeight w:val="312" w:hRule="atLeast"/>
        </w:trPr>
        <w:tc>
          <w:tcPr>
            <w:tcW w:w="326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Cs/>
                <w:color w:val="000000" w:themeColor="text1"/>
                <w:szCs w:val="21"/>
                <w14:textFill>
                  <w14:solidFill>
                    <w14:schemeClr w14:val="tx1"/>
                  </w14:solidFill>
                </w14:textFill>
              </w:rPr>
            </w:pPr>
          </w:p>
        </w:tc>
        <w:tc>
          <w:tcPr>
            <w:tcW w:w="28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bCs/>
                <w:color w:val="000000" w:themeColor="text1"/>
                <w:szCs w:val="21"/>
                <w14:textFill>
                  <w14:solidFill>
                    <w14:schemeClr w14:val="tx1"/>
                  </w14:solidFill>
                </w14:textFill>
              </w:rPr>
            </w:pPr>
          </w:p>
        </w:tc>
        <w:tc>
          <w:tcPr>
            <w:tcW w:w="2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和平工业园南部片区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CP320402-2022-01-01</w:t>
            </w:r>
          </w:p>
        </w:tc>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10.2598</w:t>
            </w:r>
          </w:p>
        </w:tc>
      </w:tr>
      <w:tr>
        <w:tblPrEx>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东青小镇01号片区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CP320402-2022-01-02</w:t>
            </w:r>
          </w:p>
        </w:tc>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38.0123</w:t>
            </w:r>
          </w:p>
        </w:tc>
      </w:tr>
      <w:tr>
        <w:tblPrEx>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东青小镇02号片区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CP320402-2022-01-03</w:t>
            </w:r>
          </w:p>
        </w:tc>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33.1797</w:t>
            </w:r>
          </w:p>
        </w:tc>
      </w:tr>
      <w:tr>
        <w:tblPrEx>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中绛产业园01号片区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CP320402-2022-01-04</w:t>
            </w:r>
          </w:p>
        </w:tc>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40.9892</w:t>
            </w:r>
          </w:p>
        </w:tc>
      </w:tr>
      <w:tr>
        <w:tblPrEx>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舜新家园周边片区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CP320402-2022-01-05</w:t>
            </w:r>
          </w:p>
        </w:tc>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55.1498</w:t>
            </w:r>
          </w:p>
        </w:tc>
      </w:tr>
      <w:tr>
        <w:tblPrEx>
          <w:tblCellMar>
            <w:top w:w="0" w:type="dxa"/>
            <w:left w:w="108" w:type="dxa"/>
            <w:bottom w:w="0" w:type="dxa"/>
            <w:right w:w="108" w:type="dxa"/>
          </w:tblCellMar>
        </w:tblPrEx>
        <w:trPr>
          <w:trHeight w:val="75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省高新技术园区02号片区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CP320402-2022-01-06</w:t>
            </w:r>
          </w:p>
        </w:tc>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80.6114</w:t>
            </w:r>
          </w:p>
        </w:tc>
      </w:tr>
      <w:tr>
        <w:tblPrEx>
          <w:tblCellMar>
            <w:top w:w="0" w:type="dxa"/>
            <w:left w:w="108" w:type="dxa"/>
            <w:bottom w:w="0" w:type="dxa"/>
            <w:right w:w="108" w:type="dxa"/>
          </w:tblCellMar>
        </w:tblPrEx>
        <w:trPr>
          <w:trHeight w:val="750"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合计</w:t>
            </w:r>
          </w:p>
        </w:tc>
        <w:tc>
          <w:tcPr>
            <w:tcW w:w="26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r>
              <w:rPr>
                <w:rFonts w:ascii="宋体" w:hAnsi="宋体" w:cs="宋体"/>
                <w:bCs/>
                <w:color w:val="000000" w:themeColor="text1"/>
                <w:szCs w:val="21"/>
                <w14:textFill>
                  <w14:solidFill>
                    <w14:schemeClr w14:val="tx1"/>
                  </w14:solidFill>
                </w14:textFill>
              </w:rPr>
              <w:t>258.2022</w:t>
            </w:r>
          </w:p>
        </w:tc>
      </w:tr>
    </w:tbl>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p>
    <w:p>
      <w:pPr>
        <w:spacing w:line="360" w:lineRule="auto"/>
        <w:ind w:right="210" w:firstLine="422" w:firstLineChars="200"/>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（五）数据标准</w:t>
      </w:r>
    </w:p>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方案编制中以第三次全国国土调查成果和2020年国土变更调查数据为基础，综合征地、供地、水资源、土壤资源、矿产资源、地质环境和森林资源等调查评价成果，采用2000国家大地坐标系和1985国家高程基准，开展数据建设工作。</w:t>
      </w:r>
    </w:p>
    <w:p>
      <w:pPr>
        <w:spacing w:line="360" w:lineRule="auto"/>
        <w:ind w:right="210" w:firstLine="422" w:firstLineChars="200"/>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（六）成果内容及形式</w:t>
      </w:r>
    </w:p>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成果包括总体概述及单个片区开发方案。</w:t>
      </w:r>
    </w:p>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总体概述成果包括文本、附表、附图及附件；单个片区开发方案成果包括文本、附表、附图、数据库及附件。其中：</w:t>
      </w:r>
    </w:p>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1、文本：包括成片开发必要性、土地开发利用现状、用地规划情况、项目与进度、被征地农民权益保障、资金预算与效益评估、保障措施等；</w:t>
      </w:r>
    </w:p>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2、附表：开发片区基本信息表、开发片区土地利用情况统计表、开发片区建设项目情况统计表、土地征收成片开发时序和年度实施计划安排表、开发片区公益性用地统计表、土地征收成片开发资金预算表等；</w:t>
      </w:r>
    </w:p>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3、图件：片区范围示意图、片区土地开发建设状况图、片区土地利用现状图、片区国土空间规划图、片区土地规划用途分类图等；</w:t>
      </w:r>
    </w:p>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4、数据库：成片开发的矢量数据库；</w:t>
      </w:r>
    </w:p>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5、附件：开发片区勘测定界成果；集体经济组织出具的同意征收的有关证明及附件；市县征求意见情况说明（含人大代表、政协委员、社会公众和有关专家学者意见等）；该片区涉及的现行城市或镇总体规划、控制性详细规划的矢量数据、批复文件、盖章图件；其他需要提供的材料。主要包括：（1）其他用地情况说明及示意图；（2）在建、已建成公益性项目的国有建设用地划拨批准文件或国有建设用地使用权出让等有偿使用合同等；（3）所在产业园相关资料。</w:t>
      </w:r>
    </w:p>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文本采用Word格式，表格采用Excel格式，图件栅格图采用JPG格式并提交MXD格式地图文档，数据库采用MDB格式。</w:t>
      </w:r>
    </w:p>
    <w:p>
      <w:pPr>
        <w:spacing w:line="360" w:lineRule="auto"/>
        <w:ind w:right="210" w:firstLine="422" w:firstLineChars="200"/>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（七）质量标准要求</w:t>
      </w:r>
    </w:p>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1、技术依据：为保证本项目实施的科学性、规范性和准确性，技术方案需要严格遵照国家有关法律、法规、规章制度以及国家、省和行业颁布的相关技术标准和规范。</w:t>
      </w:r>
    </w:p>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2、递交的成果内容必须符合招标文件的有关要求和国家、省有关标准。</w:t>
      </w:r>
    </w:p>
    <w:p>
      <w:pPr>
        <w:spacing w:line="360" w:lineRule="auto"/>
        <w:ind w:right="210" w:firstLine="422" w:firstLineChars="200"/>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（八）验收标准</w:t>
      </w:r>
    </w:p>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根据国家的相关规定，由采购人及相关部门进行验收通过。</w:t>
      </w:r>
    </w:p>
    <w:p>
      <w:pPr>
        <w:spacing w:line="360" w:lineRule="auto"/>
        <w:ind w:right="210" w:firstLine="422"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（九）服务要求</w:t>
      </w:r>
    </w:p>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1、合同生效后立即组建项目团队，选派具有丰富实践经验和良好沟通、协调能力的项目经理。成交供应商须为本项目配备项目负责人1名，项目组人员若干。</w:t>
      </w:r>
    </w:p>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2、在服务期间原则上不得更换项目负责人，特殊情况确需更换的，应事先征得采购人批准。采购人有权要求成交供应商撤换工作不负责任、管理不力、贻误工期和造成严重的安全事故和工程质量事故、违法乱纪的专业技术、管理人员及项目经理，直至采购人满意为止。如项目经理及相应资质的专业技术人员未按要求到位，视作违约，采购人有权单方面终止合同。</w:t>
      </w:r>
    </w:p>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3、供应商根据项目情况及服务要求的内容为基础，编制详细的服务工作方案、服务说明及承诺。</w:t>
      </w:r>
    </w:p>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4、项目保密要求：土地征收成片开发编制工作中涉及到的涉密和敏感图文资料、电子数据，编制单位应严格执行保密的相关规定，不得以任何方式向任何第三人披露、泄露或许可第三人使用。项目成果最终所有权属采购人，在项目完成时成交供应商必须全部移交。以上保密规定如有违反，采购人有权追究成交供应商相关法律责任。</w:t>
      </w:r>
    </w:p>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5、成交供应商应监督督促其派遣人员在现场调查工作时做好个人防护，佩戴基本防护用品，并按照相关采样要求、工作流程。对提供不实或内容虚假的调查结果以及自行对外提供调查结果报告，采购人可采取必要措施，并终止合同。</w:t>
      </w:r>
    </w:p>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6、因成交供应商管理不善，造成服务范围内的设施、设备、景观等损坏的，由直接责任人赔偿，若直接责任人因故无法赔偿的，采购人有权视情节要求成交供应商按赔偿。</w:t>
      </w:r>
    </w:p>
    <w:p>
      <w:pPr>
        <w:spacing w:line="360" w:lineRule="auto"/>
        <w:ind w:right="210" w:firstLine="420" w:firstLineChars="200"/>
        <w:jc w:val="left"/>
        <w:rPr>
          <w:rFonts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7、成交供应商在项目服务期间应制定项目安全实施管理措施，并严格遵守企业单位安全管理要求，编制单位在项目服务过程中因管理不当、维护措施不当等因素或不按安全管理要求，造成人员安全或财产损失事故的，其责任均由成交供应商承担，采购人不承担责任。</w:t>
      </w:r>
    </w:p>
    <w:p>
      <w:pPr>
        <w:adjustRightInd w:val="0"/>
        <w:snapToGrid w:val="0"/>
        <w:spacing w:line="360" w:lineRule="auto"/>
        <w:ind w:right="210" w:firstLine="422" w:firstLineChars="200"/>
        <w:jc w:val="left"/>
        <w:rPr>
          <w:rFonts w:ascii="宋体" w:hAnsi="宋体" w:cs="宋体"/>
          <w:b/>
          <w:szCs w:val="21"/>
        </w:rPr>
      </w:pPr>
      <w:r>
        <w:rPr>
          <w:rFonts w:hint="eastAsia" w:ascii="宋体" w:hAnsi="宋体" w:cs="宋体"/>
          <w:b/>
          <w:szCs w:val="21"/>
        </w:rPr>
        <w:t>二、报价方式</w:t>
      </w:r>
    </w:p>
    <w:p>
      <w:pPr>
        <w:tabs>
          <w:tab w:val="left" w:pos="284"/>
        </w:tabs>
        <w:spacing w:line="360" w:lineRule="auto"/>
        <w:ind w:firstLine="420" w:firstLineChars="200"/>
        <w:rPr>
          <w:rFonts w:ascii="宋体" w:hAnsi="宋体" w:cs="宋体"/>
          <w:color w:val="000000"/>
          <w:szCs w:val="21"/>
        </w:rPr>
      </w:pPr>
      <w:r>
        <w:rPr>
          <w:rFonts w:hint="eastAsia" w:ascii="宋体" w:hAnsi="宋体" w:cs="宋体"/>
          <w:color w:val="000000"/>
          <w:szCs w:val="21"/>
        </w:rPr>
        <w:t>本项目报价为</w:t>
      </w:r>
      <w:r>
        <w:rPr>
          <w:rFonts w:hint="eastAsia" w:ascii="宋体" w:hAnsi="宋体" w:cs="宋体"/>
          <w:b/>
          <w:bCs/>
          <w:szCs w:val="21"/>
          <w:u w:val="single"/>
        </w:rPr>
        <w:t>固定单价</w:t>
      </w:r>
      <w:r>
        <w:rPr>
          <w:rFonts w:hint="eastAsia" w:ascii="宋体" w:hAnsi="宋体" w:cs="宋体"/>
          <w:szCs w:val="21"/>
        </w:rPr>
        <w:t>，磋商</w:t>
      </w:r>
      <w:r>
        <w:rPr>
          <w:rFonts w:hint="eastAsia" w:ascii="宋体" w:hAnsi="宋体" w:cs="宋体"/>
          <w:color w:val="000000"/>
          <w:szCs w:val="21"/>
        </w:rPr>
        <w:t>报价应包括竞争性磋商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pPr>
        <w:adjustRightInd w:val="0"/>
        <w:snapToGrid w:val="0"/>
        <w:spacing w:line="360" w:lineRule="auto"/>
        <w:ind w:firstLine="422" w:firstLineChars="200"/>
        <w:rPr>
          <w:rFonts w:ascii="宋体" w:hAnsi="宋体" w:cs="宋体"/>
          <w:szCs w:val="21"/>
        </w:rPr>
      </w:pPr>
      <w:r>
        <w:rPr>
          <w:rFonts w:hint="eastAsia" w:ascii="宋体" w:hAnsi="宋体" w:cs="宋体"/>
          <w:b/>
          <w:szCs w:val="21"/>
        </w:rPr>
        <w:t>三、服务期限：</w:t>
      </w:r>
      <w:r>
        <w:rPr>
          <w:rFonts w:hint="eastAsia" w:ascii="宋体" w:hAnsi="宋体" w:cs="宋体"/>
          <w:szCs w:val="21"/>
        </w:rPr>
        <w:t>自合同签订之日至</w:t>
      </w:r>
      <w:r>
        <w:rPr>
          <w:rFonts w:hint="eastAsia" w:ascii="宋体" w:hAnsi="宋体" w:cs="宋体"/>
          <w:szCs w:val="21"/>
          <w:highlight w:val="yellow"/>
        </w:rPr>
        <w:t>202</w:t>
      </w:r>
      <w:r>
        <w:rPr>
          <w:rFonts w:ascii="宋体" w:hAnsi="宋体" w:cs="宋体"/>
          <w:szCs w:val="21"/>
          <w:highlight w:val="yellow"/>
        </w:rPr>
        <w:t>2</w:t>
      </w:r>
      <w:r>
        <w:rPr>
          <w:rFonts w:hint="eastAsia" w:ascii="宋体" w:hAnsi="宋体" w:cs="宋体"/>
          <w:szCs w:val="21"/>
          <w:highlight w:val="yellow"/>
        </w:rPr>
        <w:t>年12月31日</w:t>
      </w:r>
      <w:r>
        <w:rPr>
          <w:rFonts w:hint="eastAsia" w:ascii="宋体" w:hAnsi="宋体" w:cs="宋体"/>
          <w:szCs w:val="21"/>
        </w:rPr>
        <w:t>前完成，具体时间结合相关上报时间安排，以采购人要求为准。如因政策变化原因造成时间延误，则项目完成时间相应顺延。</w:t>
      </w:r>
    </w:p>
    <w:p>
      <w:pPr>
        <w:adjustRightInd w:val="0"/>
        <w:snapToGrid w:val="0"/>
        <w:spacing w:line="360" w:lineRule="auto"/>
        <w:ind w:right="210" w:firstLine="422" w:firstLineChars="200"/>
        <w:jc w:val="left"/>
        <w:rPr>
          <w:rFonts w:ascii="宋体" w:hAnsi="宋体" w:cs="宋体"/>
          <w:b/>
          <w:szCs w:val="21"/>
        </w:rPr>
      </w:pPr>
      <w:r>
        <w:rPr>
          <w:rFonts w:hint="eastAsia" w:ascii="宋体" w:hAnsi="宋体" w:cs="宋体"/>
          <w:b/>
          <w:szCs w:val="21"/>
        </w:rPr>
        <w:t>四、付款方式</w:t>
      </w:r>
    </w:p>
    <w:p>
      <w:pPr>
        <w:adjustRightInd w:val="0"/>
        <w:spacing w:line="440" w:lineRule="exact"/>
        <w:ind w:firstLine="480" w:firstLineChars="200"/>
        <w:jc w:val="left"/>
        <w:rPr>
          <w:rFonts w:ascii="宋体" w:hAnsi="宋体" w:cs="宋体"/>
          <w:bCs/>
          <w:color w:val="0000FF"/>
          <w:sz w:val="24"/>
          <w:szCs w:val="24"/>
        </w:rPr>
      </w:pPr>
      <w:r>
        <w:rPr>
          <w:rFonts w:hint="eastAsia" w:ascii="宋体" w:hAnsi="宋体" w:cs="宋体"/>
          <w:bCs/>
          <w:color w:val="0000FF"/>
          <w:sz w:val="24"/>
          <w:szCs w:val="24"/>
        </w:rPr>
        <w:t>（1）签订合同生效之日起30日内，甲方支付合同价的10%作为预付款；</w:t>
      </w:r>
    </w:p>
    <w:p>
      <w:pPr>
        <w:adjustRightInd w:val="0"/>
        <w:spacing w:line="440" w:lineRule="exact"/>
        <w:ind w:firstLine="480" w:firstLineChars="200"/>
        <w:jc w:val="left"/>
        <w:rPr>
          <w:rFonts w:ascii="宋体" w:hAnsi="宋体" w:cs="宋体"/>
          <w:bCs/>
          <w:color w:val="0000FF"/>
          <w:sz w:val="24"/>
          <w:szCs w:val="24"/>
        </w:rPr>
      </w:pPr>
      <w:r>
        <w:rPr>
          <w:rFonts w:hint="eastAsia" w:ascii="宋体" w:hAnsi="宋体" w:cs="宋体"/>
          <w:bCs/>
          <w:color w:val="0000FF"/>
          <w:sz w:val="24"/>
          <w:szCs w:val="24"/>
        </w:rPr>
        <w:t>（2）乙方提交合同内约定的所有内容的初步成果，提交之日起60日内支付合同价的30%；</w:t>
      </w:r>
    </w:p>
    <w:p>
      <w:pPr>
        <w:adjustRightInd w:val="0"/>
        <w:spacing w:line="440" w:lineRule="exact"/>
        <w:ind w:firstLine="480" w:firstLineChars="200"/>
        <w:jc w:val="left"/>
        <w:rPr>
          <w:rFonts w:ascii="宋体" w:hAnsi="宋体" w:cs="宋体"/>
          <w:bCs/>
          <w:color w:val="0000FF"/>
          <w:sz w:val="24"/>
          <w:szCs w:val="24"/>
        </w:rPr>
      </w:pPr>
      <w:r>
        <w:rPr>
          <w:rFonts w:hint="eastAsia" w:ascii="宋体" w:hAnsi="宋体" w:cs="宋体"/>
          <w:bCs/>
          <w:color w:val="0000FF"/>
          <w:sz w:val="24"/>
          <w:szCs w:val="24"/>
        </w:rPr>
        <w:t>（3）乙方提交合同内约定的所有内容的最终成果，提交之日起60日内支付合同价的30%；</w:t>
      </w:r>
    </w:p>
    <w:p>
      <w:pPr>
        <w:adjustRightInd w:val="0"/>
        <w:spacing w:line="440" w:lineRule="exact"/>
        <w:ind w:firstLine="480" w:firstLineChars="200"/>
        <w:jc w:val="left"/>
        <w:rPr>
          <w:rFonts w:ascii="宋体" w:hAnsi="宋体" w:cs="宋体"/>
          <w:bCs/>
          <w:color w:val="0000FF"/>
          <w:sz w:val="24"/>
          <w:szCs w:val="24"/>
        </w:rPr>
      </w:pPr>
      <w:r>
        <w:rPr>
          <w:rFonts w:hint="eastAsia" w:ascii="宋体" w:hAnsi="宋体" w:cs="宋体"/>
          <w:bCs/>
          <w:color w:val="0000FF"/>
          <w:sz w:val="24"/>
          <w:szCs w:val="24"/>
        </w:rPr>
        <w:t>（4）乙方完成合同约定的所有内容通过相关验收，自验收合格之日起60日内支付合同价的30%。</w:t>
      </w:r>
    </w:p>
    <w:p>
      <w:pPr>
        <w:spacing w:line="360" w:lineRule="auto"/>
        <w:ind w:firstLine="420" w:firstLineChars="200"/>
        <w:rPr>
          <w:rFonts w:ascii="宋体" w:hAnsi="宋体" w:cs="宋体"/>
          <w:color w:val="FF0000"/>
        </w:rPr>
      </w:pPr>
    </w:p>
    <w:p>
      <w:pPr>
        <w:spacing w:line="360" w:lineRule="auto"/>
        <w:rPr>
          <w:rFonts w:ascii="宋体" w:hAnsi="宋体" w:cs="宋体"/>
        </w:rPr>
      </w:pPr>
      <w:bookmarkStart w:id="3" w:name="_Toc17537929"/>
      <w:r>
        <w:rPr>
          <w:rFonts w:hint="eastAsia" w:ascii="宋体" w:hAnsi="宋体" w:cs="宋体"/>
        </w:rPr>
        <w:br w:type="page"/>
      </w:r>
    </w:p>
    <w:p>
      <w:pPr>
        <w:pStyle w:val="3"/>
        <w:spacing w:line="360" w:lineRule="auto"/>
        <w:rPr>
          <w:rFonts w:ascii="宋体" w:hAnsi="宋体" w:cs="宋体"/>
        </w:rPr>
      </w:pPr>
      <w:r>
        <w:rPr>
          <w:rFonts w:hint="eastAsia" w:ascii="宋体" w:hAnsi="宋体" w:cs="宋体"/>
        </w:rPr>
        <w:t>第三章  合同主要条款</w:t>
      </w:r>
      <w:bookmarkEnd w:id="3"/>
    </w:p>
    <w:p>
      <w:pPr>
        <w:pStyle w:val="13"/>
        <w:spacing w:line="360" w:lineRule="auto"/>
        <w:rPr>
          <w:rFonts w:eastAsia="宋体" w:cs="宋体"/>
          <w:sz w:val="21"/>
          <w:szCs w:val="21"/>
        </w:rPr>
      </w:pPr>
      <w:r>
        <w:rPr>
          <w:rFonts w:hint="eastAsia" w:eastAsia="宋体" w:cs="宋体"/>
          <w:b/>
          <w:sz w:val="21"/>
          <w:szCs w:val="21"/>
          <w:lang w:val="zh-CN"/>
        </w:rPr>
        <w:t>采购人（以下称甲</w:t>
      </w:r>
      <w:r>
        <w:rPr>
          <w:rFonts w:hint="eastAsia" w:eastAsia="宋体" w:cs="宋体"/>
          <w:b/>
          <w:sz w:val="21"/>
          <w:szCs w:val="21"/>
        </w:rPr>
        <w:t xml:space="preserve">方）:                       </w:t>
      </w:r>
      <w:r>
        <w:rPr>
          <w:rFonts w:hint="eastAsia" w:eastAsia="宋体" w:cs="宋体"/>
          <w:sz w:val="21"/>
          <w:szCs w:val="21"/>
        </w:rPr>
        <w:t>合同编号：</w:t>
      </w:r>
    </w:p>
    <w:p>
      <w:pPr>
        <w:pStyle w:val="13"/>
        <w:spacing w:line="360" w:lineRule="auto"/>
        <w:rPr>
          <w:rFonts w:eastAsia="宋体" w:cs="宋体"/>
          <w:sz w:val="21"/>
          <w:szCs w:val="21"/>
          <w:u w:val="single"/>
        </w:rPr>
      </w:pPr>
      <w:r>
        <w:rPr>
          <w:rFonts w:hint="eastAsia" w:eastAsia="宋体" w:cs="宋体"/>
          <w:b/>
          <w:sz w:val="21"/>
          <w:szCs w:val="21"/>
        </w:rPr>
        <w:t>供应商（</w:t>
      </w:r>
      <w:r>
        <w:rPr>
          <w:rFonts w:hint="eastAsia" w:eastAsia="宋体" w:cs="宋体"/>
          <w:b/>
          <w:sz w:val="21"/>
          <w:szCs w:val="21"/>
          <w:lang w:val="zh-CN"/>
        </w:rPr>
        <w:t>以下称</w:t>
      </w:r>
      <w:r>
        <w:rPr>
          <w:rFonts w:hint="eastAsia" w:eastAsia="宋体" w:cs="宋体"/>
          <w:b/>
          <w:sz w:val="21"/>
          <w:szCs w:val="21"/>
        </w:rPr>
        <w:t xml:space="preserve">乙方）:                       </w:t>
      </w:r>
      <w:r>
        <w:rPr>
          <w:rFonts w:hint="eastAsia" w:eastAsia="宋体" w:cs="宋体"/>
          <w:sz w:val="21"/>
          <w:szCs w:val="21"/>
        </w:rPr>
        <w:t>签订地点：</w:t>
      </w:r>
    </w:p>
    <w:p>
      <w:pPr>
        <w:pStyle w:val="7"/>
        <w:spacing w:line="360" w:lineRule="auto"/>
        <w:ind w:firstLine="4620" w:firstLineChars="2200"/>
        <w:rPr>
          <w:rFonts w:hAnsi="宋体" w:cs="宋体"/>
          <w:b/>
          <w:sz w:val="21"/>
          <w:szCs w:val="21"/>
        </w:rPr>
      </w:pPr>
      <w:r>
        <w:rPr>
          <w:rFonts w:hint="eastAsia" w:hAnsi="宋体" w:cs="宋体"/>
          <w:sz w:val="21"/>
          <w:szCs w:val="21"/>
        </w:rPr>
        <w:t xml:space="preserve">合同时间: </w:t>
      </w:r>
      <w:r>
        <w:rPr>
          <w:rFonts w:hint="eastAsia" w:hAnsi="宋体" w:cs="宋体"/>
          <w:sz w:val="21"/>
          <w:szCs w:val="21"/>
          <w:u w:val="single"/>
        </w:rPr>
        <w:t xml:space="preserve">    年   月   日</w:t>
      </w:r>
    </w:p>
    <w:p>
      <w:pPr>
        <w:pStyle w:val="13"/>
        <w:spacing w:line="360" w:lineRule="auto"/>
        <w:ind w:firstLine="424" w:firstLineChars="202"/>
        <w:rPr>
          <w:rFonts w:eastAsia="宋体" w:cs="宋体"/>
          <w:sz w:val="21"/>
          <w:szCs w:val="21"/>
        </w:rPr>
      </w:pPr>
      <w:r>
        <w:rPr>
          <w:rFonts w:hint="eastAsia" w:eastAsia="宋体" w:cs="宋体"/>
          <w:sz w:val="21"/>
          <w:szCs w:val="21"/>
        </w:rPr>
        <w:t>甲乙双方依据《中华人民共和国民法典》以及有关法律、法规的规定，经协商一致，订立本合同，以便共同遵守。</w:t>
      </w:r>
    </w:p>
    <w:p>
      <w:pPr>
        <w:pStyle w:val="13"/>
        <w:spacing w:line="360" w:lineRule="auto"/>
        <w:ind w:firstLine="426" w:firstLineChars="202"/>
        <w:rPr>
          <w:rFonts w:eastAsia="宋体" w:cs="宋体"/>
          <w:b/>
          <w:sz w:val="21"/>
          <w:szCs w:val="21"/>
        </w:rPr>
      </w:pPr>
      <w:r>
        <w:rPr>
          <w:rFonts w:hint="eastAsia" w:eastAsia="宋体" w:cs="宋体"/>
          <w:b/>
          <w:sz w:val="21"/>
          <w:szCs w:val="21"/>
        </w:rPr>
        <w:t>第一条 合同标的</w:t>
      </w:r>
    </w:p>
    <w:p>
      <w:pPr>
        <w:widowControl/>
        <w:adjustRightInd w:val="0"/>
        <w:spacing w:line="360" w:lineRule="auto"/>
        <w:ind w:firstLine="424" w:firstLineChars="202"/>
        <w:jc w:val="left"/>
        <w:rPr>
          <w:rFonts w:ascii="宋体" w:hAnsi="宋体" w:cs="宋体"/>
          <w:kern w:val="0"/>
          <w:szCs w:val="21"/>
          <w:lang w:val="zh-CN"/>
        </w:rPr>
      </w:pPr>
      <w:r>
        <w:rPr>
          <w:rFonts w:hint="eastAsia" w:ascii="宋体" w:hAnsi="宋体" w:cs="宋体"/>
          <w:kern w:val="0"/>
          <w:szCs w:val="21"/>
          <w:lang w:val="zh-CN"/>
        </w:rPr>
        <w:t>乙方根据甲方需求提供下列服务：         ，</w:t>
      </w:r>
      <w:r>
        <w:rPr>
          <w:rFonts w:hint="eastAsia" w:ascii="宋体" w:hAnsi="宋体" w:cs="宋体"/>
          <w:szCs w:val="21"/>
        </w:rPr>
        <w:t>系指根据合同规定乙方须承担与服务有关的所有辅助服务</w:t>
      </w:r>
      <w:r>
        <w:rPr>
          <w:rFonts w:hint="eastAsia" w:ascii="宋体" w:hAnsi="宋体" w:cs="宋体"/>
          <w:kern w:val="0"/>
          <w:szCs w:val="21"/>
          <w:lang w:val="zh-CN"/>
        </w:rPr>
        <w:t>。</w:t>
      </w:r>
    </w:p>
    <w:p>
      <w:pPr>
        <w:pStyle w:val="13"/>
        <w:spacing w:line="360" w:lineRule="auto"/>
        <w:ind w:firstLine="426" w:firstLineChars="202"/>
        <w:rPr>
          <w:rFonts w:eastAsia="宋体" w:cs="宋体"/>
          <w:b/>
          <w:sz w:val="21"/>
          <w:szCs w:val="21"/>
        </w:rPr>
      </w:pPr>
      <w:r>
        <w:rPr>
          <w:rFonts w:hint="eastAsia" w:eastAsia="宋体" w:cs="宋体"/>
          <w:b/>
          <w:sz w:val="21"/>
          <w:szCs w:val="21"/>
        </w:rPr>
        <w:t>第二条 合同价格</w:t>
      </w:r>
    </w:p>
    <w:p>
      <w:pPr>
        <w:pStyle w:val="13"/>
        <w:spacing w:line="360" w:lineRule="auto"/>
        <w:ind w:firstLine="426" w:firstLineChars="202"/>
        <w:jc w:val="left"/>
        <w:rPr>
          <w:rFonts w:eastAsia="宋体" w:cs="宋体"/>
          <w:b/>
          <w:sz w:val="21"/>
          <w:szCs w:val="21"/>
        </w:rPr>
      </w:pPr>
      <w:r>
        <w:rPr>
          <w:rFonts w:hint="eastAsia" w:eastAsia="宋体" w:cs="宋体"/>
          <w:b/>
          <w:sz w:val="21"/>
          <w:szCs w:val="21"/>
        </w:rPr>
        <w:t>本合同为综合单价合同，合同总价=确定单价×通过批准的片区数，签约单价（人民币，下同）：</w:t>
      </w:r>
      <w:r>
        <w:rPr>
          <w:rFonts w:hint="eastAsia" w:eastAsia="宋体" w:cs="宋体"/>
          <w:b/>
          <w:sz w:val="21"/>
          <w:szCs w:val="21"/>
          <w:u w:val="single"/>
        </w:rPr>
        <w:t xml:space="preserve">             元</w:t>
      </w:r>
      <w:r>
        <w:rPr>
          <w:rFonts w:hint="eastAsia" w:eastAsia="宋体" w:cs="宋体"/>
          <w:b/>
          <w:sz w:val="21"/>
          <w:szCs w:val="21"/>
        </w:rPr>
        <w:t xml:space="preserve">（小写       ）。 </w:t>
      </w:r>
    </w:p>
    <w:p>
      <w:pPr>
        <w:pStyle w:val="13"/>
        <w:spacing w:line="360" w:lineRule="auto"/>
        <w:ind w:firstLine="424" w:firstLineChars="202"/>
        <w:rPr>
          <w:rFonts w:eastAsia="宋体" w:cs="宋体"/>
          <w:sz w:val="21"/>
          <w:szCs w:val="21"/>
        </w:rPr>
      </w:pPr>
      <w:r>
        <w:rPr>
          <w:rFonts w:hint="eastAsia" w:eastAsia="宋体" w:cs="宋体"/>
          <w:sz w:val="21"/>
          <w:szCs w:val="21"/>
        </w:rPr>
        <w:t>本合同总价包括竞争性磋商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pPr>
        <w:pStyle w:val="13"/>
        <w:spacing w:line="360" w:lineRule="auto"/>
        <w:ind w:firstLine="424" w:firstLineChars="202"/>
        <w:rPr>
          <w:rFonts w:eastAsia="宋体" w:cs="宋体"/>
          <w:sz w:val="21"/>
          <w:szCs w:val="21"/>
        </w:rPr>
      </w:pPr>
      <w:r>
        <w:rPr>
          <w:rFonts w:hint="eastAsia" w:eastAsia="宋体" w:cs="宋体"/>
          <w:sz w:val="21"/>
          <w:szCs w:val="21"/>
        </w:rPr>
        <w:t>本合同总价款还包含乙方应当提供的伴随服务/售后服务费用。</w:t>
      </w:r>
    </w:p>
    <w:p>
      <w:pPr>
        <w:pStyle w:val="13"/>
        <w:spacing w:line="360" w:lineRule="auto"/>
        <w:ind w:firstLine="422" w:firstLineChars="200"/>
        <w:rPr>
          <w:rFonts w:eastAsia="宋体" w:cs="宋体"/>
          <w:b/>
          <w:sz w:val="21"/>
          <w:szCs w:val="21"/>
        </w:rPr>
      </w:pPr>
      <w:r>
        <w:rPr>
          <w:rFonts w:hint="eastAsia" w:eastAsia="宋体" w:cs="宋体"/>
          <w:b/>
          <w:sz w:val="21"/>
          <w:szCs w:val="21"/>
        </w:rPr>
        <w:t>第三条 合同履行期限</w:t>
      </w:r>
    </w:p>
    <w:p>
      <w:pPr>
        <w:snapToGrid w:val="0"/>
        <w:spacing w:line="360" w:lineRule="auto"/>
        <w:ind w:firstLine="420" w:firstLineChars="200"/>
        <w:rPr>
          <w:rFonts w:ascii="宋体" w:hAnsi="宋体" w:cs="宋体"/>
          <w:szCs w:val="21"/>
        </w:rPr>
      </w:pPr>
      <w:r>
        <w:rPr>
          <w:rFonts w:hint="eastAsia" w:ascii="宋体" w:hAnsi="宋体" w:cs="宋体"/>
          <w:szCs w:val="21"/>
        </w:rPr>
        <w:t>本项目服务期限为   年  月   日-   年  月  日。</w:t>
      </w:r>
    </w:p>
    <w:p>
      <w:pPr>
        <w:pStyle w:val="13"/>
        <w:spacing w:line="360" w:lineRule="auto"/>
        <w:ind w:firstLine="422" w:firstLineChars="200"/>
        <w:rPr>
          <w:rFonts w:eastAsia="宋体" w:cs="宋体"/>
          <w:b/>
          <w:sz w:val="21"/>
          <w:szCs w:val="21"/>
        </w:rPr>
      </w:pPr>
      <w:r>
        <w:rPr>
          <w:rFonts w:hint="eastAsia" w:eastAsia="宋体" w:cs="宋体"/>
          <w:b/>
          <w:sz w:val="21"/>
          <w:szCs w:val="21"/>
        </w:rPr>
        <w:t>第四条 组成本合同的有关文件</w:t>
      </w:r>
    </w:p>
    <w:p>
      <w:pPr>
        <w:pStyle w:val="13"/>
        <w:spacing w:line="360" w:lineRule="auto"/>
        <w:ind w:firstLine="424" w:firstLineChars="202"/>
        <w:rPr>
          <w:rFonts w:eastAsia="宋体" w:cs="宋体"/>
          <w:sz w:val="21"/>
          <w:szCs w:val="21"/>
        </w:rPr>
      </w:pPr>
      <w:r>
        <w:rPr>
          <w:rFonts w:hint="eastAsia" w:eastAsia="宋体" w:cs="宋体"/>
          <w:sz w:val="21"/>
          <w:szCs w:val="21"/>
        </w:rPr>
        <w:t>下列与本次采购活动有关的文件及有关附件是本合同不可分割的组成部分，与本合同具有同等法律效力，这些文件包括但不限于：</w:t>
      </w:r>
    </w:p>
    <w:p>
      <w:pPr>
        <w:pStyle w:val="13"/>
        <w:spacing w:line="360" w:lineRule="auto"/>
        <w:ind w:firstLine="424" w:firstLineChars="202"/>
        <w:rPr>
          <w:rFonts w:eastAsia="宋体" w:cs="宋体"/>
          <w:sz w:val="21"/>
          <w:szCs w:val="21"/>
        </w:rPr>
      </w:pPr>
      <w:r>
        <w:rPr>
          <w:rFonts w:hint="eastAsia" w:eastAsia="宋体" w:cs="宋体"/>
          <w:sz w:val="21"/>
          <w:szCs w:val="21"/>
        </w:rPr>
        <w:t xml:space="preserve">（1）竞争性磋商文件（编号：   ）          （2）乙方提供的磋商响应文件； </w:t>
      </w:r>
    </w:p>
    <w:p>
      <w:pPr>
        <w:pStyle w:val="13"/>
        <w:spacing w:line="360" w:lineRule="auto"/>
        <w:ind w:firstLine="424" w:firstLineChars="202"/>
        <w:rPr>
          <w:rFonts w:eastAsia="宋体" w:cs="宋体"/>
          <w:sz w:val="21"/>
          <w:szCs w:val="21"/>
        </w:rPr>
      </w:pPr>
      <w:r>
        <w:rPr>
          <w:rFonts w:hint="eastAsia" w:eastAsia="宋体" w:cs="宋体"/>
          <w:sz w:val="21"/>
          <w:szCs w:val="21"/>
        </w:rPr>
        <w:t>（3）成交通知书；                         （4）甲乙双方商定的其他文件等。</w:t>
      </w:r>
    </w:p>
    <w:p>
      <w:pPr>
        <w:adjustRightInd w:val="0"/>
        <w:snapToGrid w:val="0"/>
        <w:spacing w:line="360" w:lineRule="auto"/>
        <w:ind w:firstLine="426" w:firstLineChars="202"/>
        <w:rPr>
          <w:rFonts w:ascii="宋体" w:hAnsi="宋体" w:cs="宋体"/>
          <w:b/>
          <w:szCs w:val="21"/>
        </w:rPr>
      </w:pPr>
      <w:r>
        <w:rPr>
          <w:rFonts w:hint="eastAsia" w:ascii="宋体" w:hAnsi="宋体" w:cs="宋体"/>
          <w:b/>
          <w:szCs w:val="21"/>
        </w:rPr>
        <w:t>第五条 合同款结算及支付</w:t>
      </w:r>
    </w:p>
    <w:p>
      <w:pPr>
        <w:adjustRightInd w:val="0"/>
        <w:snapToGrid w:val="0"/>
        <w:spacing w:line="360" w:lineRule="auto"/>
        <w:ind w:firstLine="424" w:firstLineChars="202"/>
        <w:rPr>
          <w:rFonts w:ascii="宋体" w:hAnsi="宋体" w:cs="宋体"/>
          <w:szCs w:val="21"/>
        </w:rPr>
      </w:pPr>
      <w:r>
        <w:rPr>
          <w:rFonts w:hint="eastAsia" w:ascii="宋体" w:hAnsi="宋体" w:cs="宋体"/>
          <w:szCs w:val="21"/>
        </w:rPr>
        <w:t>1.本合同项下所有款项均以人民币支付。</w:t>
      </w:r>
    </w:p>
    <w:p>
      <w:pPr>
        <w:adjustRightInd w:val="0"/>
        <w:snapToGrid w:val="0"/>
        <w:spacing w:line="360" w:lineRule="auto"/>
        <w:ind w:firstLine="424" w:firstLineChars="202"/>
        <w:rPr>
          <w:rFonts w:ascii="宋体" w:hAnsi="宋体" w:cs="宋体"/>
          <w:szCs w:val="21"/>
        </w:rPr>
      </w:pPr>
      <w:r>
        <w:rPr>
          <w:rFonts w:hint="eastAsia" w:ascii="宋体" w:hAnsi="宋体" w:cs="宋体"/>
          <w:szCs w:val="21"/>
        </w:rPr>
        <w:t>2.本合同项下的采购资金由甲方自行支付，乙方向甲方开具发票。</w:t>
      </w:r>
    </w:p>
    <w:p>
      <w:pPr>
        <w:adjustRightInd w:val="0"/>
        <w:snapToGrid w:val="0"/>
        <w:spacing w:line="360" w:lineRule="auto"/>
        <w:ind w:firstLine="426" w:firstLineChars="202"/>
        <w:rPr>
          <w:rFonts w:ascii="宋体" w:hAnsi="宋体" w:cs="宋体"/>
          <w:b/>
          <w:bCs/>
          <w:szCs w:val="21"/>
        </w:rPr>
      </w:pPr>
      <w:r>
        <w:rPr>
          <w:rFonts w:hint="eastAsia" w:ascii="宋体" w:hAnsi="宋体" w:cs="宋体"/>
          <w:b/>
          <w:bCs/>
          <w:szCs w:val="21"/>
        </w:rPr>
        <w:t>3.结算原则：固定单价，按实结算。</w:t>
      </w:r>
    </w:p>
    <w:p>
      <w:pPr>
        <w:adjustRightInd w:val="0"/>
        <w:snapToGrid w:val="0"/>
        <w:spacing w:line="360" w:lineRule="auto"/>
        <w:ind w:firstLine="422" w:firstLineChars="200"/>
        <w:rPr>
          <w:rFonts w:ascii="宋体" w:hAnsi="宋体" w:cs="宋体"/>
          <w:b/>
          <w:bCs/>
        </w:rPr>
      </w:pPr>
      <w:r>
        <w:rPr>
          <w:rFonts w:hint="eastAsia" w:ascii="宋体" w:hAnsi="宋体" w:cs="宋体"/>
          <w:b/>
          <w:bCs/>
          <w:szCs w:val="21"/>
        </w:rPr>
        <w:t>4.付款方式：</w:t>
      </w:r>
      <w:r>
        <w:rPr>
          <w:rFonts w:hint="eastAsia" w:ascii="宋体" w:hAnsi="宋体" w:cs="宋体"/>
          <w:b/>
          <w:bCs/>
        </w:rPr>
        <w:t>（1）签订合同生效之日起30日内，甲方支付合同价的10%作为预付款；</w:t>
      </w:r>
    </w:p>
    <w:p>
      <w:pPr>
        <w:adjustRightInd w:val="0"/>
        <w:snapToGrid w:val="0"/>
        <w:spacing w:line="360" w:lineRule="auto"/>
        <w:ind w:firstLine="422" w:firstLineChars="200"/>
        <w:rPr>
          <w:rFonts w:ascii="宋体" w:hAnsi="宋体" w:cs="宋体"/>
          <w:b/>
          <w:bCs/>
        </w:rPr>
      </w:pPr>
      <w:r>
        <w:rPr>
          <w:rFonts w:hint="eastAsia" w:ascii="宋体" w:hAnsi="宋体" w:cs="宋体"/>
          <w:b/>
          <w:bCs/>
        </w:rPr>
        <w:t>（2）乙方提交合同内约定的所有内容的初步成果，提交之日起60日内支付合同价的30%；</w:t>
      </w:r>
    </w:p>
    <w:p>
      <w:pPr>
        <w:adjustRightInd w:val="0"/>
        <w:snapToGrid w:val="0"/>
        <w:spacing w:line="360" w:lineRule="auto"/>
        <w:ind w:firstLine="422" w:firstLineChars="200"/>
        <w:rPr>
          <w:rFonts w:ascii="宋体" w:hAnsi="宋体" w:cs="宋体"/>
          <w:b/>
          <w:bCs/>
        </w:rPr>
      </w:pPr>
      <w:r>
        <w:rPr>
          <w:rFonts w:hint="eastAsia" w:ascii="宋体" w:hAnsi="宋体" w:cs="宋体"/>
          <w:b/>
          <w:bCs/>
        </w:rPr>
        <w:t>（3）乙方提交合同内约定的所有内容的最终成果，提交之日起60日内支付合同价的30%；</w:t>
      </w:r>
    </w:p>
    <w:p>
      <w:pPr>
        <w:adjustRightInd w:val="0"/>
        <w:snapToGrid w:val="0"/>
        <w:spacing w:line="360" w:lineRule="auto"/>
        <w:ind w:firstLine="422" w:firstLineChars="200"/>
        <w:rPr>
          <w:rFonts w:ascii="宋体" w:hAnsi="宋体" w:cs="宋体"/>
          <w:b/>
          <w:bCs/>
          <w:color w:val="FF0000"/>
          <w:szCs w:val="21"/>
        </w:rPr>
      </w:pPr>
      <w:r>
        <w:rPr>
          <w:rFonts w:hint="eastAsia" w:ascii="宋体" w:hAnsi="宋体" w:cs="宋体"/>
          <w:b/>
          <w:bCs/>
        </w:rPr>
        <w:t>（4）乙方完成合同约定的所有内容通过相关验收，自验收合格之日起60日内支付合同价的30%。</w:t>
      </w:r>
    </w:p>
    <w:p>
      <w:pPr>
        <w:adjustRightInd w:val="0"/>
        <w:snapToGrid w:val="0"/>
        <w:spacing w:line="360" w:lineRule="auto"/>
        <w:ind w:firstLine="426" w:firstLineChars="202"/>
        <w:rPr>
          <w:rFonts w:ascii="宋体" w:hAnsi="宋体" w:cs="宋体"/>
          <w:b/>
          <w:szCs w:val="21"/>
        </w:rPr>
      </w:pPr>
      <w:r>
        <w:rPr>
          <w:rFonts w:hint="eastAsia" w:ascii="宋体" w:hAnsi="宋体" w:cs="宋体"/>
          <w:b/>
          <w:szCs w:val="21"/>
        </w:rPr>
        <w:t>第六条 违约责任</w:t>
      </w:r>
    </w:p>
    <w:p>
      <w:pPr>
        <w:spacing w:line="360" w:lineRule="auto"/>
        <w:ind w:firstLine="420" w:firstLineChars="200"/>
        <w:rPr>
          <w:rFonts w:ascii="宋体" w:hAnsi="宋体" w:cs="宋体"/>
        </w:rPr>
      </w:pPr>
      <w:r>
        <w:rPr>
          <w:rFonts w:hint="eastAsia" w:ascii="宋体" w:hAnsi="宋体" w:cs="宋体"/>
        </w:rPr>
        <w:t>1.如乙方不能</w:t>
      </w:r>
      <w:r>
        <w:rPr>
          <w:rFonts w:hint="eastAsia" w:ascii="宋体" w:hAnsi="宋体" w:cs="宋体"/>
          <w:szCs w:val="21"/>
        </w:rPr>
        <w:t>按约定进行服务的，</w:t>
      </w:r>
      <w:r>
        <w:rPr>
          <w:rFonts w:hint="eastAsia" w:ascii="宋体" w:hAnsi="宋体" w:cs="宋体"/>
        </w:rPr>
        <w:t>甲方有权解除合同，同时有权要求乙方按照合同总价5%的标准支付违约金，解除合同的通知自发出之日生效。</w:t>
      </w:r>
    </w:p>
    <w:p>
      <w:pPr>
        <w:spacing w:line="360" w:lineRule="auto"/>
        <w:ind w:firstLine="420" w:firstLineChars="200"/>
        <w:rPr>
          <w:rFonts w:ascii="宋体" w:hAnsi="宋体" w:cs="宋体"/>
        </w:rPr>
      </w:pPr>
      <w:r>
        <w:rPr>
          <w:rFonts w:hint="eastAsia" w:ascii="宋体" w:hAnsi="宋体" w:cs="宋体"/>
        </w:rPr>
        <w:t>2.甲方未按合同规定的期限向乙方支付货款的，每逾期1天甲方向乙方偿付欠款总额的5‰滞纳金，但累计滞纳金总额不超过欠款总额的5% 。</w:t>
      </w:r>
    </w:p>
    <w:p>
      <w:pPr>
        <w:spacing w:line="360" w:lineRule="auto"/>
        <w:ind w:firstLine="420" w:firstLineChars="200"/>
        <w:rPr>
          <w:rFonts w:ascii="宋体" w:hAnsi="宋体" w:cs="宋体"/>
        </w:rPr>
      </w:pPr>
      <w:r>
        <w:rPr>
          <w:rFonts w:hint="eastAsia" w:ascii="宋体" w:hAnsi="宋体" w:cs="宋体"/>
        </w:rPr>
        <w:t>3.乙方未按本合同的规定和“服务承诺”提供伴随服务的，甲方有权提前解除本合同，同时乙方应按合同总价款的5 %向甲方承担违约责任。</w:t>
      </w:r>
    </w:p>
    <w:p>
      <w:pPr>
        <w:spacing w:line="360" w:lineRule="auto"/>
        <w:ind w:firstLine="420" w:firstLineChars="200"/>
        <w:rPr>
          <w:rFonts w:ascii="宋体" w:hAnsi="宋体" w:cs="宋体"/>
        </w:rPr>
      </w:pPr>
      <w:r>
        <w:rPr>
          <w:rFonts w:hint="eastAsia" w:ascii="宋体" w:hAnsi="宋体" w:cs="宋体"/>
        </w:rPr>
        <w:t>4.乙方在承担上述一项或多项违约责任后，仍应继续履行合同规定的义务（甲方解除合同的除外）。甲方未能及时追究乙方的任何一项违约责任并不表明甲方放弃追究乙方该项或其他违约责任。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auto"/>
        <w:ind w:firstLine="420" w:firstLineChars="200"/>
        <w:rPr>
          <w:rFonts w:ascii="宋体" w:hAnsi="宋体" w:cs="宋体"/>
        </w:rPr>
      </w:pPr>
      <w:r>
        <w:rPr>
          <w:rFonts w:hint="eastAsia" w:ascii="宋体" w:hAnsi="宋体" w:cs="宋体"/>
        </w:rPr>
        <w:t>5.乙方属虚假承诺，或是由于乙方的过错造成合同无法继续履行的，应向甲方支付不少于合同总价30%违约金，若该违约金不足以弥补甲方损失，则应当赔偿甲方所有损失。</w:t>
      </w:r>
    </w:p>
    <w:p>
      <w:pPr>
        <w:spacing w:line="360" w:lineRule="auto"/>
        <w:ind w:firstLine="420" w:firstLineChars="200"/>
        <w:rPr>
          <w:rFonts w:ascii="宋体" w:hAnsi="宋体" w:cs="宋体"/>
        </w:rPr>
      </w:pPr>
      <w:r>
        <w:rPr>
          <w:rFonts w:hint="eastAsia" w:ascii="宋体" w:hAnsi="宋体" w:cs="宋体"/>
        </w:rPr>
        <w:t>6.其他未尽事宜，以《民法典》等有关法律法规规定为准，无相关规定的，双方协商解决。</w:t>
      </w:r>
    </w:p>
    <w:p>
      <w:pPr>
        <w:adjustRightInd w:val="0"/>
        <w:snapToGrid w:val="0"/>
        <w:spacing w:line="360" w:lineRule="auto"/>
        <w:ind w:firstLine="426" w:firstLineChars="202"/>
        <w:rPr>
          <w:rFonts w:ascii="宋体" w:hAnsi="宋体" w:cs="宋体"/>
          <w:b/>
          <w:szCs w:val="21"/>
        </w:rPr>
      </w:pPr>
      <w:r>
        <w:rPr>
          <w:rFonts w:hint="eastAsia" w:ascii="宋体" w:hAnsi="宋体" w:cs="宋体"/>
          <w:b/>
          <w:szCs w:val="21"/>
        </w:rPr>
        <w:t>第七条 合同的变更和终止</w:t>
      </w:r>
    </w:p>
    <w:p>
      <w:pPr>
        <w:adjustRightInd w:val="0"/>
        <w:snapToGrid w:val="0"/>
        <w:spacing w:line="360" w:lineRule="auto"/>
        <w:ind w:firstLine="424" w:firstLineChars="202"/>
        <w:rPr>
          <w:rFonts w:ascii="宋体" w:hAnsi="宋体" w:cs="宋体"/>
          <w:szCs w:val="21"/>
        </w:rPr>
      </w:pPr>
      <w:r>
        <w:rPr>
          <w:rFonts w:hint="eastAsia" w:ascii="宋体" w:hAnsi="宋体" w:cs="宋体"/>
          <w:szCs w:val="21"/>
        </w:rPr>
        <w:t>1.本合同一经签订，甲乙双方不得擅自变更、中止或终止合同。</w:t>
      </w:r>
    </w:p>
    <w:p>
      <w:pPr>
        <w:adjustRightInd w:val="0"/>
        <w:snapToGrid w:val="0"/>
        <w:spacing w:line="360" w:lineRule="auto"/>
        <w:ind w:firstLine="424" w:firstLineChars="202"/>
        <w:rPr>
          <w:rFonts w:ascii="宋体" w:hAnsi="宋体" w:cs="宋体"/>
          <w:szCs w:val="21"/>
        </w:rPr>
      </w:pPr>
      <w:r>
        <w:rPr>
          <w:rFonts w:hint="eastAsia" w:ascii="宋体" w:hAnsi="宋体" w:cs="宋体"/>
          <w:szCs w:val="21"/>
        </w:rPr>
        <w:t>2.除发生法律规定的不能预见、不能避免并不能克服的客观情况外，甲乙双方不得放弃或拒绝履行合同。乙方放弃或拒绝履行合同。</w:t>
      </w:r>
    </w:p>
    <w:p>
      <w:pPr>
        <w:adjustRightInd w:val="0"/>
        <w:snapToGrid w:val="0"/>
        <w:spacing w:line="360" w:lineRule="auto"/>
        <w:ind w:firstLine="426" w:firstLineChars="202"/>
        <w:rPr>
          <w:rFonts w:ascii="宋体" w:hAnsi="宋体" w:cs="宋体"/>
          <w:b/>
          <w:szCs w:val="21"/>
        </w:rPr>
      </w:pPr>
      <w:r>
        <w:rPr>
          <w:rFonts w:hint="eastAsia" w:ascii="宋体" w:hAnsi="宋体" w:cs="宋体"/>
          <w:b/>
          <w:szCs w:val="21"/>
        </w:rPr>
        <w:t>第八条 合同的转让</w:t>
      </w:r>
    </w:p>
    <w:p>
      <w:pPr>
        <w:adjustRightInd w:val="0"/>
        <w:snapToGrid w:val="0"/>
        <w:spacing w:line="360" w:lineRule="auto"/>
        <w:ind w:firstLine="424" w:firstLineChars="202"/>
        <w:rPr>
          <w:rFonts w:ascii="宋体" w:hAnsi="宋体" w:cs="宋体"/>
          <w:szCs w:val="21"/>
        </w:rPr>
      </w:pPr>
      <w:r>
        <w:rPr>
          <w:rFonts w:hint="eastAsia" w:ascii="宋体" w:hAnsi="宋体" w:cs="宋体"/>
          <w:szCs w:val="21"/>
        </w:rPr>
        <w:t>乙方不得擅自部分或全部转让其应履行的合同义务。</w:t>
      </w:r>
    </w:p>
    <w:p>
      <w:pPr>
        <w:adjustRightInd w:val="0"/>
        <w:snapToGrid w:val="0"/>
        <w:spacing w:line="360" w:lineRule="auto"/>
        <w:ind w:firstLine="426" w:firstLineChars="202"/>
        <w:rPr>
          <w:rFonts w:ascii="宋体" w:hAnsi="宋体" w:cs="宋体"/>
          <w:b/>
          <w:szCs w:val="21"/>
        </w:rPr>
      </w:pPr>
      <w:r>
        <w:rPr>
          <w:rFonts w:hint="eastAsia" w:ascii="宋体" w:hAnsi="宋体" w:cs="宋体"/>
          <w:b/>
          <w:szCs w:val="21"/>
        </w:rPr>
        <w:t>第九条 不可抗力</w:t>
      </w:r>
    </w:p>
    <w:p>
      <w:pPr>
        <w:adjustRightInd w:val="0"/>
        <w:snapToGrid w:val="0"/>
        <w:spacing w:line="360" w:lineRule="auto"/>
        <w:ind w:firstLine="424" w:firstLineChars="202"/>
        <w:rPr>
          <w:rFonts w:ascii="宋体" w:hAnsi="宋体" w:cs="宋体"/>
          <w:szCs w:val="21"/>
        </w:rPr>
      </w:pPr>
      <w:r>
        <w:rPr>
          <w:rFonts w:hint="eastAsia" w:ascii="宋体" w:hAnsi="宋体" w:cs="宋体"/>
          <w:szCs w:val="21"/>
        </w:rPr>
        <w:t>甲、乙方中任何一方，因不可抗力不能按时或完全履行合同的，应及时通知对方，并在5日内提供相应证明。未履行完合同部分是否继续履行、如何履行等问题，可由双方初步协商，并向主管部门报告。确定为不可抗力原因造成的损失，免予承担责任。</w:t>
      </w:r>
    </w:p>
    <w:p>
      <w:pPr>
        <w:adjustRightInd w:val="0"/>
        <w:snapToGrid w:val="0"/>
        <w:spacing w:line="360" w:lineRule="auto"/>
        <w:ind w:firstLine="426" w:firstLineChars="202"/>
        <w:rPr>
          <w:rFonts w:ascii="宋体" w:hAnsi="宋体" w:cs="宋体"/>
          <w:b/>
          <w:szCs w:val="21"/>
        </w:rPr>
      </w:pPr>
      <w:r>
        <w:rPr>
          <w:rFonts w:hint="eastAsia" w:ascii="宋体" w:hAnsi="宋体" w:cs="宋体"/>
          <w:b/>
          <w:szCs w:val="21"/>
        </w:rPr>
        <w:t>第十条 争议的解决</w:t>
      </w:r>
    </w:p>
    <w:p>
      <w:pPr>
        <w:adjustRightInd w:val="0"/>
        <w:snapToGrid w:val="0"/>
        <w:spacing w:line="360" w:lineRule="auto"/>
        <w:ind w:firstLine="424" w:firstLineChars="202"/>
        <w:rPr>
          <w:rFonts w:ascii="宋体" w:hAnsi="宋体" w:cs="宋体"/>
          <w:szCs w:val="21"/>
        </w:rPr>
      </w:pPr>
      <w:r>
        <w:rPr>
          <w:rFonts w:hint="eastAsia" w:ascii="宋体" w:hAnsi="宋体" w:cs="宋体"/>
          <w:szCs w:val="21"/>
        </w:rPr>
        <w:t>1.因履行本合同引起的或与本合同有关的争议，甲、乙双方应首先通过友好协商解决，如果协商不能解决争议，则采取以下第（ ）种方式解决争议：</w:t>
      </w:r>
    </w:p>
    <w:p>
      <w:pPr>
        <w:adjustRightInd w:val="0"/>
        <w:snapToGrid w:val="0"/>
        <w:spacing w:line="360" w:lineRule="auto"/>
        <w:ind w:firstLine="424" w:firstLineChars="202"/>
        <w:rPr>
          <w:rFonts w:ascii="宋体" w:hAnsi="宋体" w:cs="宋体"/>
          <w:szCs w:val="21"/>
        </w:rPr>
      </w:pPr>
      <w:r>
        <w:rPr>
          <w:rFonts w:hint="eastAsia" w:ascii="宋体" w:hAnsi="宋体" w:cs="宋体"/>
          <w:szCs w:val="21"/>
        </w:rPr>
        <w:t>（1）向甲方所在地人民法院提起诉讼；</w:t>
      </w:r>
    </w:p>
    <w:p>
      <w:pPr>
        <w:adjustRightInd w:val="0"/>
        <w:snapToGrid w:val="0"/>
        <w:spacing w:line="360" w:lineRule="auto"/>
        <w:ind w:firstLine="424" w:firstLineChars="202"/>
        <w:rPr>
          <w:rFonts w:ascii="宋体" w:hAnsi="宋体" w:cs="宋体"/>
          <w:szCs w:val="21"/>
        </w:rPr>
      </w:pPr>
      <w:r>
        <w:rPr>
          <w:rFonts w:hint="eastAsia" w:ascii="宋体" w:hAnsi="宋体" w:cs="宋体"/>
          <w:szCs w:val="21"/>
        </w:rPr>
        <w:t>（2）向甲方所在地仲裁委员会按其仲裁规则申请仲裁。</w:t>
      </w:r>
    </w:p>
    <w:p>
      <w:pPr>
        <w:adjustRightInd w:val="0"/>
        <w:snapToGrid w:val="0"/>
        <w:spacing w:line="360" w:lineRule="auto"/>
        <w:ind w:firstLine="424" w:firstLineChars="202"/>
        <w:rPr>
          <w:rFonts w:ascii="宋体" w:hAnsi="宋体" w:cs="宋体"/>
          <w:szCs w:val="21"/>
        </w:rPr>
      </w:pPr>
      <w:r>
        <w:rPr>
          <w:rFonts w:hint="eastAsia" w:ascii="宋体" w:hAnsi="宋体" w:cs="宋体"/>
          <w:szCs w:val="21"/>
        </w:rPr>
        <w:t>如没有约定，默认采取第2种方式解决争议。</w:t>
      </w:r>
    </w:p>
    <w:p>
      <w:pPr>
        <w:adjustRightInd w:val="0"/>
        <w:snapToGrid w:val="0"/>
        <w:spacing w:line="360" w:lineRule="auto"/>
        <w:ind w:firstLine="424" w:firstLineChars="202"/>
        <w:rPr>
          <w:rFonts w:ascii="宋体" w:hAnsi="宋体" w:cs="宋体"/>
          <w:szCs w:val="21"/>
        </w:rPr>
      </w:pPr>
      <w:r>
        <w:rPr>
          <w:rFonts w:hint="eastAsia" w:ascii="宋体" w:hAnsi="宋体" w:cs="宋体"/>
          <w:szCs w:val="21"/>
        </w:rPr>
        <w:t>2.在法院审理和仲裁期间，除有争议部分外，本合同其他部分应继续履行。</w:t>
      </w:r>
    </w:p>
    <w:p>
      <w:pPr>
        <w:adjustRightInd w:val="0"/>
        <w:snapToGrid w:val="0"/>
        <w:spacing w:line="360" w:lineRule="auto"/>
        <w:ind w:firstLine="426" w:firstLineChars="202"/>
        <w:rPr>
          <w:rFonts w:ascii="宋体" w:hAnsi="宋体" w:cs="宋体"/>
          <w:b/>
          <w:szCs w:val="21"/>
        </w:rPr>
      </w:pPr>
      <w:r>
        <w:rPr>
          <w:rFonts w:hint="eastAsia" w:ascii="宋体" w:hAnsi="宋体" w:cs="宋体"/>
          <w:b/>
          <w:szCs w:val="21"/>
        </w:rPr>
        <w:t xml:space="preserve">第十一条 诚实信用 </w:t>
      </w:r>
    </w:p>
    <w:p>
      <w:pPr>
        <w:adjustRightInd w:val="0"/>
        <w:snapToGrid w:val="0"/>
        <w:spacing w:line="360" w:lineRule="auto"/>
        <w:ind w:firstLine="424" w:firstLineChars="202"/>
        <w:rPr>
          <w:rFonts w:ascii="宋体" w:hAnsi="宋体" w:cs="宋体"/>
          <w:szCs w:val="21"/>
        </w:rPr>
      </w:pPr>
      <w:r>
        <w:rPr>
          <w:rFonts w:hint="eastAsia" w:ascii="宋体" w:hAnsi="宋体" w:cs="宋体"/>
          <w:szCs w:val="21"/>
        </w:rPr>
        <w:t>乙方应诚实信用，严格按照竞争性磋商文件要求和磋商承诺履行合同，不向甲方进行商业贿赂或者提供不正当利益。</w:t>
      </w:r>
    </w:p>
    <w:p>
      <w:pPr>
        <w:adjustRightInd w:val="0"/>
        <w:snapToGrid w:val="0"/>
        <w:spacing w:line="360" w:lineRule="auto"/>
        <w:ind w:firstLine="426" w:firstLineChars="202"/>
        <w:rPr>
          <w:rFonts w:ascii="宋体" w:hAnsi="宋体" w:cs="宋体"/>
          <w:b/>
          <w:szCs w:val="21"/>
        </w:rPr>
      </w:pPr>
      <w:r>
        <w:rPr>
          <w:rFonts w:hint="eastAsia" w:ascii="宋体" w:hAnsi="宋体" w:cs="宋体"/>
          <w:b/>
          <w:szCs w:val="21"/>
        </w:rPr>
        <w:t>第十二条 合同生效及其他</w:t>
      </w:r>
    </w:p>
    <w:p>
      <w:pPr>
        <w:adjustRightInd w:val="0"/>
        <w:snapToGrid w:val="0"/>
        <w:spacing w:line="360" w:lineRule="auto"/>
        <w:ind w:firstLine="424" w:firstLineChars="202"/>
        <w:rPr>
          <w:rFonts w:ascii="宋体" w:hAnsi="宋体" w:cs="宋体"/>
          <w:szCs w:val="21"/>
        </w:rPr>
      </w:pPr>
      <w:r>
        <w:rPr>
          <w:rFonts w:hint="eastAsia" w:ascii="宋体" w:hAnsi="宋体" w:cs="宋体"/>
          <w:szCs w:val="21"/>
        </w:rPr>
        <w:t>1.本合同自经甲乙双方授权代表签订并加盖公章后，自签订之日起生效。见证方仅对甲乙双方签订采购合同的事实进行见证，不代表任何承诺或保证，该合同的履行等相关情况均与见证方无任何关系。</w:t>
      </w:r>
    </w:p>
    <w:p>
      <w:pPr>
        <w:adjustRightInd w:val="0"/>
        <w:snapToGrid w:val="0"/>
        <w:spacing w:line="360" w:lineRule="auto"/>
        <w:ind w:firstLine="424" w:firstLineChars="202"/>
        <w:rPr>
          <w:rFonts w:ascii="宋体" w:hAnsi="宋体" w:cs="宋体"/>
          <w:szCs w:val="21"/>
        </w:rPr>
      </w:pPr>
      <w:r>
        <w:rPr>
          <w:rFonts w:hint="eastAsia" w:ascii="宋体" w:hAnsi="宋体" w:cs="宋体"/>
          <w:szCs w:val="21"/>
        </w:rPr>
        <w:t>2.本合同一式伍份，甲乙双方各执贰份，代理机构执壹份存档。</w:t>
      </w:r>
    </w:p>
    <w:p>
      <w:pPr>
        <w:spacing w:line="360" w:lineRule="auto"/>
        <w:ind w:firstLine="424" w:firstLineChars="202"/>
        <w:rPr>
          <w:rFonts w:ascii="宋体" w:hAnsi="宋体" w:cs="宋体"/>
          <w:color w:val="000000"/>
          <w:szCs w:val="21"/>
        </w:rPr>
      </w:pPr>
      <w:r>
        <w:rPr>
          <w:rFonts w:hint="eastAsia" w:ascii="宋体" w:hAnsi="宋体" w:cs="宋体"/>
          <w:szCs w:val="21"/>
        </w:rPr>
        <w:t>3.本合同应按照中华人民共和国的现行法律进行解释。</w:t>
      </w:r>
    </w:p>
    <w:p>
      <w:pPr>
        <w:spacing w:line="360" w:lineRule="auto"/>
        <w:jc w:val="left"/>
        <w:rPr>
          <w:rFonts w:ascii="宋体" w:hAnsi="宋体" w:cs="宋体"/>
          <w:b/>
          <w:bCs/>
          <w:color w:val="000000"/>
          <w:szCs w:val="21"/>
        </w:rPr>
      </w:pPr>
    </w:p>
    <w:p>
      <w:pPr>
        <w:spacing w:line="360" w:lineRule="auto"/>
        <w:jc w:val="left"/>
        <w:rPr>
          <w:rFonts w:ascii="宋体" w:hAnsi="宋体" w:cs="宋体"/>
          <w:b/>
          <w:bCs/>
          <w:color w:val="000000"/>
          <w:szCs w:val="21"/>
        </w:rPr>
      </w:pPr>
    </w:p>
    <w:p>
      <w:pPr>
        <w:pStyle w:val="10"/>
        <w:spacing w:line="360" w:lineRule="auto"/>
        <w:rPr>
          <w:rFonts w:ascii="宋体" w:hAnsi="宋体" w:cs="宋体"/>
          <w:b/>
          <w:bCs/>
          <w:color w:val="000000"/>
          <w:szCs w:val="21"/>
        </w:rPr>
      </w:pPr>
    </w:p>
    <w:p>
      <w:pPr>
        <w:spacing w:line="360" w:lineRule="auto"/>
      </w:pPr>
    </w:p>
    <w:p>
      <w:pPr>
        <w:spacing w:line="360" w:lineRule="auto"/>
        <w:jc w:val="left"/>
        <w:rPr>
          <w:rFonts w:ascii="宋体" w:hAnsi="宋体" w:cs="宋体"/>
          <w:color w:val="000000"/>
          <w:szCs w:val="21"/>
        </w:rPr>
      </w:pPr>
      <w:r>
        <w:rPr>
          <w:rFonts w:hint="eastAsia" w:ascii="宋体" w:hAnsi="宋体" w:cs="宋体"/>
          <w:b/>
          <w:bCs/>
          <w:color w:val="000000"/>
          <w:szCs w:val="21"/>
        </w:rPr>
        <w:t>甲    方</w:t>
      </w:r>
      <w:r>
        <w:rPr>
          <w:rFonts w:hint="eastAsia" w:ascii="宋体" w:hAnsi="宋体" w:cs="宋体"/>
          <w:color w:val="000000"/>
          <w:szCs w:val="21"/>
        </w:rPr>
        <w:t xml:space="preserve">：                               </w:t>
      </w:r>
      <w:r>
        <w:rPr>
          <w:rFonts w:hint="eastAsia" w:ascii="宋体" w:hAnsi="宋体" w:cs="宋体"/>
          <w:b/>
          <w:bCs/>
          <w:color w:val="000000"/>
          <w:szCs w:val="21"/>
        </w:rPr>
        <w:t>乙    方</w:t>
      </w:r>
      <w:r>
        <w:rPr>
          <w:rFonts w:hint="eastAsia" w:ascii="宋体" w:hAnsi="宋体" w:cs="宋体"/>
          <w:color w:val="000000"/>
          <w:szCs w:val="21"/>
        </w:rPr>
        <w:t>：</w:t>
      </w:r>
    </w:p>
    <w:p>
      <w:pPr>
        <w:spacing w:line="360" w:lineRule="auto"/>
        <w:rPr>
          <w:rFonts w:ascii="宋体" w:hAnsi="宋体" w:cs="宋体"/>
          <w:color w:val="000000"/>
          <w:szCs w:val="21"/>
          <w:u w:val="single"/>
        </w:rPr>
      </w:pPr>
      <w:r>
        <w:rPr>
          <w:rFonts w:hint="eastAsia" w:ascii="宋体" w:hAnsi="宋体" w:cs="宋体"/>
          <w:color w:val="000000"/>
          <w:szCs w:val="21"/>
        </w:rPr>
        <w:t>单位名称（章）：                         单位名称（章）：</w:t>
      </w:r>
    </w:p>
    <w:p>
      <w:pPr>
        <w:spacing w:line="360" w:lineRule="auto"/>
        <w:rPr>
          <w:rFonts w:ascii="宋体" w:hAnsi="宋体" w:cs="宋体"/>
          <w:color w:val="000000"/>
          <w:szCs w:val="21"/>
          <w:u w:val="single"/>
        </w:rPr>
      </w:pPr>
      <w:r>
        <w:rPr>
          <w:rFonts w:hint="eastAsia" w:ascii="宋体" w:hAnsi="宋体" w:cs="宋体"/>
          <w:color w:val="000000"/>
          <w:szCs w:val="21"/>
        </w:rPr>
        <w:t>单位地址：                               单位地址：</w:t>
      </w:r>
    </w:p>
    <w:p>
      <w:pPr>
        <w:spacing w:line="360" w:lineRule="auto"/>
        <w:rPr>
          <w:rFonts w:ascii="宋体" w:hAnsi="宋体" w:cs="宋体"/>
          <w:color w:val="000000"/>
          <w:szCs w:val="21"/>
        </w:rPr>
      </w:pPr>
      <w:r>
        <w:rPr>
          <w:rFonts w:hint="eastAsia" w:ascii="宋体" w:hAnsi="宋体" w:cs="宋体"/>
          <w:color w:val="000000"/>
          <w:szCs w:val="21"/>
        </w:rPr>
        <w:t xml:space="preserve">法定代表人：       委托代理人：          法定代表人：     委托代理人：                            </w:t>
      </w:r>
    </w:p>
    <w:p>
      <w:pPr>
        <w:spacing w:line="360" w:lineRule="auto"/>
        <w:rPr>
          <w:rFonts w:ascii="宋体" w:hAnsi="宋体" w:cs="宋体"/>
          <w:color w:val="000000"/>
          <w:szCs w:val="21"/>
        </w:rPr>
      </w:pPr>
      <w:r>
        <w:rPr>
          <w:rFonts w:hint="eastAsia" w:ascii="宋体" w:hAnsi="宋体" w:cs="宋体"/>
          <w:color w:val="000000"/>
          <w:szCs w:val="21"/>
        </w:rPr>
        <w:t>电话：                                   电话：            传真：</w:t>
      </w:r>
    </w:p>
    <w:p>
      <w:pPr>
        <w:spacing w:line="360" w:lineRule="auto"/>
        <w:rPr>
          <w:rFonts w:ascii="宋体" w:hAnsi="宋体" w:cs="宋体"/>
          <w:color w:val="000000"/>
          <w:szCs w:val="21"/>
        </w:rPr>
      </w:pPr>
      <w:r>
        <w:rPr>
          <w:rFonts w:hint="eastAsia" w:ascii="宋体" w:hAnsi="宋体" w:cs="宋体"/>
          <w:color w:val="000000"/>
          <w:szCs w:val="21"/>
        </w:rPr>
        <w:t xml:space="preserve">传真：                                   开户银行：        账号：                                                                                 </w:t>
      </w:r>
    </w:p>
    <w:p>
      <w:pPr>
        <w:spacing w:line="360" w:lineRule="auto"/>
        <w:rPr>
          <w:rFonts w:ascii="宋体" w:hAnsi="宋体" w:cs="宋体"/>
          <w:b/>
          <w:bCs/>
          <w:color w:val="000000"/>
          <w:szCs w:val="21"/>
        </w:rPr>
      </w:pPr>
    </w:p>
    <w:p>
      <w:pPr>
        <w:spacing w:line="360" w:lineRule="auto"/>
        <w:rPr>
          <w:rFonts w:ascii="宋体" w:hAnsi="宋体" w:cs="宋体"/>
          <w:color w:val="000000"/>
          <w:szCs w:val="21"/>
        </w:rPr>
      </w:pPr>
      <w:r>
        <w:rPr>
          <w:rFonts w:hint="eastAsia" w:ascii="宋体" w:hAnsi="宋体" w:cs="宋体"/>
          <w:b/>
          <w:bCs/>
          <w:color w:val="000000"/>
          <w:szCs w:val="21"/>
        </w:rPr>
        <w:t>见证方</w:t>
      </w:r>
      <w:r>
        <w:rPr>
          <w:rFonts w:hint="eastAsia" w:ascii="宋体" w:hAnsi="宋体" w:cs="宋体"/>
          <w:color w:val="000000"/>
          <w:szCs w:val="21"/>
        </w:rPr>
        <w:t>：</w:t>
      </w:r>
    </w:p>
    <w:p>
      <w:pPr>
        <w:tabs>
          <w:tab w:val="left" w:pos="3780"/>
        </w:tabs>
        <w:spacing w:line="360" w:lineRule="auto"/>
        <w:rPr>
          <w:rFonts w:ascii="宋体" w:hAnsi="宋体" w:cs="宋体"/>
          <w:color w:val="000000"/>
          <w:szCs w:val="21"/>
        </w:rPr>
      </w:pPr>
      <w:r>
        <w:rPr>
          <w:rFonts w:hint="eastAsia" w:ascii="宋体" w:hAnsi="宋体" w:cs="宋体"/>
          <w:color w:val="000000"/>
          <w:szCs w:val="21"/>
        </w:rPr>
        <w:t>代理机构（章）：</w:t>
      </w:r>
      <w:r>
        <w:rPr>
          <w:rFonts w:hint="eastAsia" w:ascii="宋体" w:hAnsi="宋体" w:cs="宋体"/>
          <w:b/>
          <w:bCs/>
          <w:color w:val="000000"/>
          <w:szCs w:val="21"/>
          <w:u w:val="single"/>
        </w:rPr>
        <w:t>江苏畅誉项目管理有限公司</w:t>
      </w:r>
    </w:p>
    <w:p>
      <w:pPr>
        <w:spacing w:line="360" w:lineRule="auto"/>
        <w:rPr>
          <w:rFonts w:ascii="宋体" w:hAnsi="宋体" w:cs="宋体"/>
          <w:color w:val="000000"/>
          <w:szCs w:val="21"/>
        </w:rPr>
      </w:pPr>
    </w:p>
    <w:p>
      <w:pPr>
        <w:spacing w:line="360" w:lineRule="auto"/>
        <w:rPr>
          <w:rFonts w:ascii="宋体" w:hAnsi="宋体" w:cs="宋体"/>
          <w:color w:val="000000"/>
          <w:szCs w:val="21"/>
        </w:rPr>
      </w:pPr>
      <w:r>
        <w:rPr>
          <w:rFonts w:hint="eastAsia" w:ascii="宋体" w:hAnsi="宋体" w:cs="宋体"/>
          <w:color w:val="000000"/>
          <w:szCs w:val="21"/>
        </w:rPr>
        <w:t>经办人：                               电  话：</w:t>
      </w:r>
    </w:p>
    <w:p>
      <w:pPr>
        <w:pStyle w:val="2"/>
        <w:rPr>
          <w:rFonts w:ascii="宋体" w:hAnsi="宋体" w:cs="宋体"/>
          <w:color w:val="000000"/>
          <w:szCs w:val="21"/>
        </w:rPr>
      </w:pPr>
    </w:p>
    <w:p>
      <w:pPr>
        <w:pStyle w:val="2"/>
        <w:rPr>
          <w:rFonts w:ascii="宋体" w:hAnsi="宋体" w:cs="宋体"/>
          <w:color w:val="000000"/>
          <w:szCs w:val="21"/>
        </w:rPr>
      </w:pPr>
    </w:p>
    <w:p>
      <w:pPr>
        <w:pStyle w:val="2"/>
        <w:rPr>
          <w:rFonts w:ascii="宋体" w:hAnsi="宋体" w:cs="宋体"/>
          <w:color w:val="000000"/>
          <w:szCs w:val="21"/>
        </w:rPr>
      </w:pPr>
    </w:p>
    <w:p>
      <w:pPr>
        <w:pStyle w:val="2"/>
        <w:rPr>
          <w:rFonts w:ascii="宋体" w:hAnsi="宋体" w:cs="宋体"/>
          <w:color w:val="000000"/>
          <w:szCs w:val="21"/>
        </w:rPr>
      </w:pPr>
    </w:p>
    <w:p>
      <w:pPr>
        <w:pStyle w:val="2"/>
        <w:rPr>
          <w:rFonts w:ascii="宋体" w:hAnsi="宋体" w:cs="宋体"/>
          <w:color w:val="000000"/>
          <w:szCs w:val="21"/>
        </w:rPr>
      </w:pPr>
    </w:p>
    <w:p>
      <w:pPr>
        <w:pStyle w:val="2"/>
        <w:rPr>
          <w:rFonts w:ascii="宋体" w:hAnsi="宋体" w:cs="宋体"/>
          <w:color w:val="000000"/>
          <w:szCs w:val="21"/>
        </w:rPr>
      </w:pPr>
    </w:p>
    <w:p>
      <w:pPr>
        <w:pStyle w:val="2"/>
        <w:rPr>
          <w:rFonts w:ascii="宋体" w:hAnsi="宋体" w:cs="宋体"/>
          <w:color w:val="000000"/>
          <w:szCs w:val="21"/>
        </w:rPr>
      </w:pPr>
    </w:p>
    <w:p>
      <w:pPr>
        <w:pStyle w:val="2"/>
        <w:rPr>
          <w:rFonts w:ascii="宋体" w:hAnsi="宋体" w:cs="宋体"/>
          <w:color w:val="000000"/>
          <w:szCs w:val="21"/>
        </w:rPr>
      </w:pPr>
    </w:p>
    <w:p>
      <w:pPr>
        <w:pStyle w:val="2"/>
        <w:rPr>
          <w:rFonts w:ascii="宋体" w:hAnsi="宋体" w:cs="宋体"/>
          <w:color w:val="000000"/>
          <w:szCs w:val="21"/>
        </w:rPr>
      </w:pPr>
    </w:p>
    <w:p>
      <w:pPr>
        <w:pStyle w:val="2"/>
        <w:rPr>
          <w:rFonts w:ascii="宋体" w:hAnsi="宋体" w:cs="宋体"/>
          <w:color w:val="000000"/>
          <w:szCs w:val="21"/>
        </w:rPr>
      </w:pPr>
    </w:p>
    <w:p>
      <w:pPr>
        <w:spacing w:line="360" w:lineRule="auto"/>
        <w:jc w:val="center"/>
        <w:rPr>
          <w:rFonts w:ascii="宋体" w:hAnsi="宋体" w:cs="宋体"/>
          <w:b/>
          <w:sz w:val="30"/>
          <w:szCs w:val="30"/>
        </w:rPr>
      </w:pPr>
    </w:p>
    <w:p>
      <w:pPr>
        <w:spacing w:line="360" w:lineRule="auto"/>
        <w:jc w:val="center"/>
        <w:rPr>
          <w:rFonts w:ascii="宋体" w:hAnsi="宋体" w:cs="宋体"/>
          <w:b/>
          <w:sz w:val="30"/>
          <w:szCs w:val="30"/>
        </w:rPr>
      </w:pPr>
    </w:p>
    <w:p>
      <w:pPr>
        <w:pStyle w:val="3"/>
        <w:numPr>
          <w:ilvl w:val="0"/>
          <w:numId w:val="1"/>
        </w:numPr>
        <w:tabs>
          <w:tab w:val="left" w:pos="1571"/>
        </w:tabs>
        <w:spacing w:line="360" w:lineRule="auto"/>
        <w:rPr>
          <w:rFonts w:ascii="宋体" w:hAnsi="宋体" w:cs="宋体"/>
        </w:rPr>
      </w:pPr>
      <w:bookmarkStart w:id="4" w:name="_Toc17537930"/>
      <w:bookmarkStart w:id="5" w:name="_Toc17537931"/>
      <w:r>
        <w:rPr>
          <w:rFonts w:hint="eastAsia" w:ascii="宋体" w:hAnsi="宋体" w:cs="宋体"/>
        </w:rPr>
        <w:t xml:space="preserve"> 评审细则</w:t>
      </w:r>
      <w:bookmarkEnd w:id="4"/>
    </w:p>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一、本项目采用综合评分法，由磋商小组对所有有效磋商响应文件进行详细的评分，采用百分制计分方法。评审时，磋商小组各成员遵循公平、公正、择优原则，独立对每个有效供应商的标书进行评价、打分，各个供应商的评审后最终得分为汇总计算所有评委所评定分值的平均值（保留2位小数）。</w:t>
      </w:r>
    </w:p>
    <w:p>
      <w:pPr>
        <w:adjustRightInd w:val="0"/>
        <w:snapToGrid w:val="0"/>
        <w:spacing w:line="360" w:lineRule="auto"/>
        <w:ind w:firstLine="420" w:firstLineChars="200"/>
        <w:rPr>
          <w:rFonts w:ascii="宋体" w:hAnsi="宋体" w:cs="宋体"/>
          <w:color w:val="FF0000"/>
          <w:szCs w:val="21"/>
        </w:rPr>
      </w:pPr>
      <w:r>
        <w:rPr>
          <w:rFonts w:hint="eastAsia" w:ascii="宋体" w:hAnsi="宋体" w:cs="宋体"/>
          <w:szCs w:val="21"/>
        </w:rPr>
        <w:t>评审结果按评审后得分由高到低顺序排列。得分相同的，按磋商报价由低到高顺序排列。得分且磋商报价相同的并列。磋商响应文件满足竞争性磋商文件全部实质性要求，且按照评审因素的量化指标评审得分最高的供应商为排名第一的成交候选人。</w:t>
      </w:r>
    </w:p>
    <w:p>
      <w:pPr>
        <w:adjustRightInd w:val="0"/>
        <w:snapToGrid w:val="0"/>
        <w:spacing w:line="360" w:lineRule="auto"/>
        <w:ind w:firstLine="398" w:firstLineChars="200"/>
        <w:rPr>
          <w:rFonts w:ascii="宋体" w:hAnsi="宋体" w:cs="宋体"/>
          <w:b/>
          <w:spacing w:val="-6"/>
          <w:szCs w:val="21"/>
        </w:rPr>
      </w:pPr>
      <w:r>
        <w:rPr>
          <w:rFonts w:hint="eastAsia" w:ascii="宋体" w:hAnsi="宋体" w:cs="宋体"/>
          <w:b/>
          <w:spacing w:val="-6"/>
          <w:szCs w:val="21"/>
        </w:rPr>
        <w:t>二、对于小微企业进行价格扣除：</w:t>
      </w:r>
    </w:p>
    <w:p>
      <w:pPr>
        <w:adjustRightInd w:val="0"/>
        <w:snapToGrid w:val="0"/>
        <w:spacing w:line="360" w:lineRule="auto"/>
        <w:ind w:firstLine="396" w:firstLineChars="200"/>
        <w:rPr>
          <w:rFonts w:ascii="宋体" w:hAnsi="宋体" w:cs="宋体"/>
          <w:b/>
          <w:color w:val="FF0000"/>
          <w:szCs w:val="21"/>
        </w:rPr>
      </w:pPr>
      <w:r>
        <w:rPr>
          <w:rFonts w:hint="eastAsia" w:ascii="宋体" w:hAnsi="宋体" w:cs="宋体"/>
          <w:spacing w:val="-6"/>
          <w:szCs w:val="21"/>
        </w:rPr>
        <w:t>对小型和微型企业的价格给予10%的扣除，用扣除后的价格参与评审。属于残疾人福利性单位的视同小微企业，给予价格扣除。</w:t>
      </w:r>
    </w:p>
    <w:p>
      <w:pPr>
        <w:spacing w:line="400" w:lineRule="exact"/>
        <w:rPr>
          <w:rFonts w:ascii="宋体" w:hAnsi="宋体" w:cs="宋体"/>
          <w:b/>
          <w:bCs/>
          <w:szCs w:val="21"/>
        </w:rPr>
      </w:pPr>
      <w:r>
        <w:rPr>
          <w:rFonts w:hint="eastAsia" w:ascii="宋体" w:hAnsi="宋体" w:cs="宋体"/>
          <w:b/>
          <w:bCs/>
          <w:szCs w:val="21"/>
        </w:rPr>
        <w:t>评分标准：</w:t>
      </w:r>
    </w:p>
    <w:tbl>
      <w:tblPr>
        <w:tblStyle w:val="22"/>
        <w:tblW w:w="92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947"/>
        <w:gridCol w:w="466"/>
        <w:gridCol w:w="6270"/>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71" w:type="dxa"/>
            <w:vAlign w:val="center"/>
          </w:tcPr>
          <w:p>
            <w:pPr>
              <w:widowControl/>
              <w:spacing w:line="300" w:lineRule="exact"/>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序号</w:t>
            </w:r>
          </w:p>
        </w:tc>
        <w:tc>
          <w:tcPr>
            <w:tcW w:w="947" w:type="dxa"/>
            <w:vAlign w:val="center"/>
          </w:tcPr>
          <w:p>
            <w:pPr>
              <w:widowControl/>
              <w:spacing w:line="300" w:lineRule="exact"/>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评审</w:t>
            </w:r>
          </w:p>
        </w:tc>
        <w:tc>
          <w:tcPr>
            <w:tcW w:w="466" w:type="dxa"/>
            <w:vAlign w:val="center"/>
          </w:tcPr>
          <w:p>
            <w:pPr>
              <w:widowControl/>
              <w:spacing w:line="300" w:lineRule="exact"/>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分值</w:t>
            </w:r>
          </w:p>
        </w:tc>
        <w:tc>
          <w:tcPr>
            <w:tcW w:w="6270" w:type="dxa"/>
            <w:vAlign w:val="center"/>
          </w:tcPr>
          <w:p>
            <w:pPr>
              <w:widowControl/>
              <w:spacing w:line="300" w:lineRule="exact"/>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评分标准</w:t>
            </w:r>
          </w:p>
        </w:tc>
        <w:tc>
          <w:tcPr>
            <w:tcW w:w="1092" w:type="dxa"/>
            <w:vAlign w:val="center"/>
          </w:tcPr>
          <w:p>
            <w:pPr>
              <w:widowControl/>
              <w:spacing w:line="300" w:lineRule="exact"/>
              <w:jc w:val="center"/>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9246" w:type="dxa"/>
            <w:gridSpan w:val="5"/>
            <w:vAlign w:val="center"/>
          </w:tcPr>
          <w:p>
            <w:pPr>
              <w:widowControl/>
              <w:spacing w:line="300" w:lineRule="exact"/>
              <w:jc w:val="left"/>
              <w:rPr>
                <w:rFonts w:asciiTheme="minorEastAsia" w:hAnsiTheme="minorEastAsia" w:eastAsiaTheme="minorEastAsia" w:cstheme="minorEastAsia"/>
                <w:b/>
                <w:bCs/>
                <w:color w:val="000000" w:themeColor="text1"/>
                <w:kern w:val="0"/>
                <w:szCs w:val="21"/>
                <w14:textFill>
                  <w14:solidFill>
                    <w14:schemeClr w14:val="tx1"/>
                  </w14:solidFill>
                </w14:textFill>
              </w:rPr>
            </w:pPr>
            <w:r>
              <w:rPr>
                <w:rFonts w:hint="eastAsia" w:asciiTheme="minorEastAsia" w:hAnsiTheme="minorEastAsia" w:eastAsiaTheme="minorEastAsia" w:cstheme="minorEastAsia"/>
                <w:b/>
                <w:bCs/>
                <w:color w:val="000000" w:themeColor="text1"/>
                <w:kern w:val="0"/>
                <w:szCs w:val="21"/>
                <w14:textFill>
                  <w14:solidFill>
                    <w14:schemeClr w14:val="tx1"/>
                  </w14:solidFill>
                </w14:textFill>
              </w:rPr>
              <w:t>一、报价部分（总分10分）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5" w:hRule="atLeast"/>
          <w:jc w:val="center"/>
        </w:trPr>
        <w:tc>
          <w:tcPr>
            <w:tcW w:w="471" w:type="dxa"/>
            <w:vAlign w:val="center"/>
          </w:tcPr>
          <w:p>
            <w:pPr>
              <w:widowControl/>
              <w:spacing w:line="300" w:lineRule="exact"/>
              <w:jc w:val="center"/>
              <w:rPr>
                <w:rFonts w:asciiTheme="minorEastAsia" w:hAnsiTheme="minorEastAsia" w:eastAsiaTheme="minorEastAsia" w:cstheme="minorEastAsia"/>
                <w:color w:val="000000" w:themeColor="text1"/>
                <w:kern w:val="0"/>
                <w:szCs w:val="21"/>
                <w14:textFill>
                  <w14:solidFill>
                    <w14:schemeClr w14:val="tx1"/>
                  </w14:solidFill>
                </w14:textFill>
              </w:rPr>
            </w:pPr>
            <w:r>
              <w:rPr>
                <w:rFonts w:hint="eastAsia" w:asciiTheme="minorEastAsia" w:hAnsiTheme="minorEastAsia" w:eastAsiaTheme="minorEastAsia" w:cstheme="minorEastAsia"/>
                <w:color w:val="000000" w:themeColor="text1"/>
                <w:kern w:val="0"/>
                <w:szCs w:val="21"/>
                <w14:textFill>
                  <w14:solidFill>
                    <w14:schemeClr w14:val="tx1"/>
                  </w14:solidFill>
                </w14:textFill>
              </w:rPr>
              <w:t>1</w:t>
            </w:r>
          </w:p>
        </w:tc>
        <w:tc>
          <w:tcPr>
            <w:tcW w:w="947" w:type="dxa"/>
            <w:vAlign w:val="center"/>
          </w:tcPr>
          <w:p>
            <w:pPr>
              <w:widowControl/>
              <w:spacing w:line="3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有效投标报价</w:t>
            </w:r>
          </w:p>
        </w:tc>
        <w:tc>
          <w:tcPr>
            <w:tcW w:w="466" w:type="dxa"/>
            <w:vAlign w:val="center"/>
          </w:tcPr>
          <w:p>
            <w:pPr>
              <w:widowControl/>
              <w:spacing w:line="3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10</w:t>
            </w:r>
          </w:p>
        </w:tc>
        <w:tc>
          <w:tcPr>
            <w:tcW w:w="6270" w:type="dxa"/>
            <w:vAlign w:val="center"/>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第一步：最终报价在采购最高限价以下的，为有效报价。超出此范围的报价为无效报价。无效报价的响应文件不进行评审，也不中标。</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第二步：满足磋商文件要求且投标价格最低的投标报价为评标基准价。</w:t>
            </w:r>
          </w:p>
          <w:p>
            <w:pPr>
              <w:adjustRightInd w:val="0"/>
              <w:snapToGrid w:val="0"/>
              <w:spacing w:line="360" w:lineRule="auto"/>
              <w:ind w:firstLine="420" w:firstLineChars="200"/>
              <w:rPr>
                <w:rFonts w:asciiTheme="minorEastAsia" w:hAnsiTheme="minorEastAsia" w:eastAsiaTheme="minorEastAsia" w:cstheme="minorEastAsia"/>
                <w:kern w:val="0"/>
                <w:szCs w:val="21"/>
              </w:rPr>
            </w:pPr>
            <w:r>
              <w:rPr>
                <w:rFonts w:hint="eastAsia" w:ascii="宋体" w:hAnsi="宋体" w:cs="宋体"/>
                <w:szCs w:val="21"/>
              </w:rPr>
              <w:t>第三步：磋商报价得分=（磋商基准价/最后磋商报价）*价格权重</w:t>
            </w:r>
          </w:p>
        </w:tc>
        <w:tc>
          <w:tcPr>
            <w:tcW w:w="1092" w:type="dxa"/>
            <w:vAlign w:val="center"/>
          </w:tcPr>
          <w:p>
            <w:pPr>
              <w:widowControl/>
              <w:spacing w:line="3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最终报价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246" w:type="dxa"/>
            <w:gridSpan w:val="5"/>
            <w:vAlign w:val="center"/>
          </w:tcPr>
          <w:p>
            <w:pPr>
              <w:widowControl/>
              <w:spacing w:line="300" w:lineRule="exact"/>
              <w:jc w:val="left"/>
              <w:rPr>
                <w:rFonts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二、相关业绩部分（总分15分）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471"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947"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业绩</w:t>
            </w:r>
          </w:p>
        </w:tc>
        <w:tc>
          <w:tcPr>
            <w:tcW w:w="466"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15</w:t>
            </w:r>
          </w:p>
        </w:tc>
        <w:tc>
          <w:tcPr>
            <w:tcW w:w="6270" w:type="dxa"/>
            <w:vAlign w:val="center"/>
          </w:tcPr>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1、供应商提供2018年以来（以签署日期为准）承担过相关</w:t>
            </w:r>
            <w:r>
              <w:rPr>
                <w:rFonts w:hint="eastAsia" w:ascii="宋体" w:hAnsi="宋体" w:cs="宋体"/>
                <w:b/>
                <w:bCs/>
                <w:szCs w:val="21"/>
              </w:rPr>
              <w:t>勘测定界类项目</w:t>
            </w:r>
            <w:r>
              <w:rPr>
                <w:rFonts w:hint="eastAsia" w:ascii="宋体" w:hAnsi="宋体" w:cs="宋体"/>
                <w:szCs w:val="21"/>
              </w:rPr>
              <w:t>的，每提供一项得1分，最多得7分。</w:t>
            </w:r>
            <w:r>
              <w:rPr>
                <w:rFonts w:hint="eastAsia" w:ascii="宋体" w:hAnsi="宋体" w:cs="宋体"/>
                <w:b/>
                <w:bCs/>
                <w:szCs w:val="21"/>
              </w:rPr>
              <w:t>（响应文件中提供相关合同或协议书或委托书，不提供的不得分）</w:t>
            </w:r>
          </w:p>
          <w:p>
            <w:pPr>
              <w:adjustRightInd w:val="0"/>
              <w:snapToGrid w:val="0"/>
              <w:spacing w:line="360" w:lineRule="auto"/>
              <w:ind w:firstLine="420" w:firstLineChars="200"/>
            </w:pPr>
            <w:r>
              <w:rPr>
                <w:rFonts w:hint="eastAsia" w:ascii="宋体" w:hAnsi="宋体" w:cs="宋体"/>
                <w:szCs w:val="21"/>
                <w:highlight w:val="yellow"/>
              </w:rPr>
              <w:t>2</w:t>
            </w:r>
            <w:r>
              <w:rPr>
                <w:rFonts w:hint="eastAsia" w:ascii="宋体" w:hAnsi="宋体" w:cs="宋体"/>
                <w:szCs w:val="21"/>
              </w:rPr>
              <w:t>、供应商提供2018年以来（以签署日期为准）承担过</w:t>
            </w:r>
            <w:r>
              <w:rPr>
                <w:rFonts w:hint="eastAsia" w:ascii="宋体" w:hAnsi="宋体" w:cs="宋体"/>
                <w:b/>
                <w:bCs/>
                <w:szCs w:val="21"/>
              </w:rPr>
              <w:t>相关土地规划咨询类项目的</w:t>
            </w:r>
            <w:r>
              <w:rPr>
                <w:rFonts w:hint="eastAsia" w:ascii="宋体" w:hAnsi="宋体" w:cs="宋体"/>
                <w:szCs w:val="21"/>
              </w:rPr>
              <w:t>，每提供一项得1分，最多得8分。</w:t>
            </w:r>
            <w:r>
              <w:rPr>
                <w:rFonts w:hint="eastAsia" w:ascii="宋体" w:hAnsi="宋体" w:cs="宋体"/>
                <w:b/>
                <w:bCs/>
                <w:szCs w:val="21"/>
              </w:rPr>
              <w:t>（响应文件中提供相关合同或协议书或委托书，不提供的不得分）</w:t>
            </w:r>
          </w:p>
        </w:tc>
        <w:tc>
          <w:tcPr>
            <w:tcW w:w="1092" w:type="dxa"/>
            <w:vAlign w:val="center"/>
          </w:tcPr>
          <w:p>
            <w:pPr>
              <w:widowControl/>
              <w:rPr>
                <w:b/>
                <w:bCs/>
              </w:rPr>
            </w:pPr>
          </w:p>
          <w:p>
            <w:pPr>
              <w:widowControl/>
              <w:rPr>
                <w:b/>
                <w:bCs/>
              </w:rPr>
            </w:pPr>
          </w:p>
          <w:p>
            <w:pPr>
              <w:widowControl/>
              <w:rPr>
                <w:b/>
                <w:bCs/>
              </w:rPr>
            </w:pPr>
          </w:p>
          <w:p>
            <w:pPr>
              <w:widowControl/>
              <w:rPr>
                <w:b/>
                <w:bCs/>
              </w:rPr>
            </w:pPr>
            <w:r>
              <w:rPr>
                <w:rFonts w:hint="eastAsia"/>
                <w:b/>
                <w:bCs/>
              </w:rPr>
              <w:t>提供合同原件或者扫描件（加盖供应商公章）核查</w:t>
            </w:r>
          </w:p>
          <w:p>
            <w:pPr>
              <w:pStyle w:val="10"/>
            </w:pPr>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9246" w:type="dxa"/>
            <w:gridSpan w:val="5"/>
            <w:vAlign w:val="center"/>
          </w:tcPr>
          <w:p>
            <w:r>
              <w:rPr>
                <w:rFonts w:hint="eastAsia" w:asciiTheme="minorEastAsia" w:hAnsiTheme="minorEastAsia" w:eastAsiaTheme="minorEastAsia" w:cstheme="minorEastAsia"/>
                <w:b/>
                <w:bCs/>
                <w:kern w:val="0"/>
                <w:szCs w:val="21"/>
              </w:rPr>
              <w:t>三、技术部分（总分58分）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jc w:val="center"/>
        </w:trPr>
        <w:tc>
          <w:tcPr>
            <w:tcW w:w="471"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947" w:type="dxa"/>
            <w:vAlign w:val="center"/>
          </w:tcPr>
          <w:p>
            <w:pPr>
              <w:widowControl/>
              <w:jc w:val="center"/>
              <w:rPr>
                <w:rFonts w:asciiTheme="minorEastAsia" w:hAnsiTheme="minorEastAsia" w:eastAsiaTheme="minorEastAsia" w:cstheme="minorEastAsia"/>
                <w:kern w:val="0"/>
                <w:szCs w:val="21"/>
              </w:rPr>
            </w:pPr>
            <w:r>
              <w:rPr>
                <w:rFonts w:hint="eastAsia" w:ascii="宋体" w:hAnsi="宋体" w:cs="宋体"/>
                <w:b/>
                <w:bCs/>
                <w:szCs w:val="21"/>
              </w:rPr>
              <w:t>项目理解</w:t>
            </w:r>
          </w:p>
        </w:tc>
        <w:tc>
          <w:tcPr>
            <w:tcW w:w="466"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w:t>
            </w:r>
          </w:p>
        </w:tc>
        <w:tc>
          <w:tcPr>
            <w:tcW w:w="6270" w:type="dxa"/>
            <w:vAlign w:val="center"/>
          </w:tcPr>
          <w:p>
            <w:pPr>
              <w:adjustRightInd w:val="0"/>
              <w:snapToGrid w:val="0"/>
              <w:spacing w:line="360" w:lineRule="auto"/>
              <w:ind w:firstLine="420" w:firstLineChars="200"/>
            </w:pPr>
            <w:r>
              <w:rPr>
                <w:rFonts w:hint="eastAsia" w:ascii="宋体" w:hAnsi="宋体" w:cs="宋体"/>
                <w:szCs w:val="21"/>
              </w:rPr>
              <w:t>对本项目的理解与对整个项目的整体把握，包括但不限于对项目概况、项目工作范围、项目目标、项目主要工作内容、最终成果等内容进行阐述，结合本项目的实际情况进行了解调查的文字说明，对项目认知明确、项目需求分析透彻、具体深入，提供详细的说明和分析，满足采购需求的得8分；对项目情况基本了解，并提供相关分析，基本符合采购需求的为6分；对项目情况不够了解，相关分析合理性较差，有描述但内容欠缺的得4分；未提供不得分。</w:t>
            </w:r>
          </w:p>
        </w:tc>
        <w:tc>
          <w:tcPr>
            <w:tcW w:w="1092" w:type="dxa"/>
            <w:vAlign w:val="center"/>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8" w:hRule="atLeast"/>
          <w:jc w:val="center"/>
        </w:trPr>
        <w:tc>
          <w:tcPr>
            <w:tcW w:w="471"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2</w:t>
            </w:r>
          </w:p>
        </w:tc>
        <w:tc>
          <w:tcPr>
            <w:tcW w:w="947" w:type="dxa"/>
            <w:vAlign w:val="center"/>
          </w:tcPr>
          <w:p>
            <w:pPr>
              <w:widowControl/>
              <w:jc w:val="center"/>
              <w:rPr>
                <w:rFonts w:asciiTheme="minorEastAsia" w:hAnsiTheme="minorEastAsia" w:eastAsiaTheme="minorEastAsia" w:cstheme="minorEastAsia"/>
                <w:kern w:val="0"/>
                <w:szCs w:val="21"/>
              </w:rPr>
            </w:pPr>
            <w:r>
              <w:rPr>
                <w:rFonts w:hint="eastAsia" w:ascii="宋体" w:hAnsi="宋体" w:cs="宋体"/>
                <w:b/>
                <w:bCs/>
                <w:szCs w:val="21"/>
              </w:rPr>
              <w:t>对本项目关键技术问题及难点分析及应对措施</w:t>
            </w:r>
          </w:p>
        </w:tc>
        <w:tc>
          <w:tcPr>
            <w:tcW w:w="466" w:type="dxa"/>
            <w:vAlign w:val="center"/>
          </w:tcPr>
          <w:p>
            <w:pPr>
              <w:widowControl/>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w:t>
            </w:r>
          </w:p>
        </w:tc>
        <w:tc>
          <w:tcPr>
            <w:tcW w:w="6270" w:type="dxa"/>
            <w:vAlign w:val="center"/>
          </w:tcPr>
          <w:p>
            <w:pPr>
              <w:adjustRightInd w:val="0"/>
              <w:snapToGrid w:val="0"/>
              <w:spacing w:line="360" w:lineRule="auto"/>
              <w:ind w:firstLine="420" w:firstLineChars="200"/>
            </w:pPr>
            <w:r>
              <w:rPr>
                <w:rFonts w:hint="eastAsia" w:ascii="宋体" w:hAnsi="宋体" w:cs="宋体"/>
                <w:szCs w:val="21"/>
              </w:rPr>
              <w:t>对本项目关键技术问题及难点分析，并结合本项目的关键技术问题及难点分析，提出有针对性的应对措施综合评定。重难点分析完整、措施切实可行、科学合理的得8分；重难点分析较为全面、应对措施具有一定可行性的得6分；重难点分析基本贴合实际、措施基本符合要求的得4分；分析简略、措施针对性有欠缺的得4分；未提供不得分。</w:t>
            </w:r>
          </w:p>
        </w:tc>
        <w:tc>
          <w:tcPr>
            <w:tcW w:w="1092" w:type="dxa"/>
            <w:vAlign w:val="center"/>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2" w:hRule="atLeast"/>
          <w:jc w:val="center"/>
        </w:trPr>
        <w:tc>
          <w:tcPr>
            <w:tcW w:w="471" w:type="dxa"/>
            <w:vAlign w:val="center"/>
          </w:tcPr>
          <w:p>
            <w:pPr>
              <w:widowControl/>
              <w:spacing w:line="300" w:lineRule="exact"/>
              <w:jc w:val="center"/>
              <w:rPr>
                <w:rFonts w:asciiTheme="minorEastAsia" w:hAnsiTheme="minorEastAsia" w:eastAsiaTheme="minorEastAsia" w:cstheme="minorEastAsia"/>
                <w:kern w:val="0"/>
                <w:szCs w:val="21"/>
              </w:rPr>
            </w:pPr>
          </w:p>
          <w:p>
            <w:pPr>
              <w:widowControl/>
              <w:spacing w:line="3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3</w:t>
            </w:r>
          </w:p>
        </w:tc>
        <w:tc>
          <w:tcPr>
            <w:tcW w:w="947" w:type="dxa"/>
            <w:vAlign w:val="center"/>
          </w:tcPr>
          <w:p>
            <w:pPr>
              <w:widowControl/>
              <w:spacing w:line="300" w:lineRule="exact"/>
              <w:rPr>
                <w:rFonts w:ascii="宋体" w:hAnsi="宋体" w:cs="仿宋" w:eastAsiaTheme="minorEastAsia"/>
                <w:kern w:val="0"/>
                <w:sz w:val="24"/>
              </w:rPr>
            </w:pPr>
          </w:p>
          <w:p>
            <w:pPr>
              <w:widowControl/>
              <w:spacing w:line="300" w:lineRule="exact"/>
              <w:jc w:val="center"/>
              <w:rPr>
                <w:rFonts w:asciiTheme="minorEastAsia" w:hAnsiTheme="minorEastAsia" w:eastAsiaTheme="minorEastAsia" w:cstheme="minorEastAsia"/>
                <w:kern w:val="0"/>
                <w:szCs w:val="21"/>
              </w:rPr>
            </w:pPr>
            <w:r>
              <w:rPr>
                <w:rFonts w:hint="eastAsia" w:ascii="宋体" w:hAnsi="宋体" w:cs="宋体"/>
                <w:b/>
                <w:bCs/>
                <w:szCs w:val="21"/>
              </w:rPr>
              <w:t>工作方法及技术路线</w:t>
            </w:r>
          </w:p>
        </w:tc>
        <w:tc>
          <w:tcPr>
            <w:tcW w:w="466" w:type="dxa"/>
            <w:vAlign w:val="center"/>
          </w:tcPr>
          <w:p>
            <w:pPr>
              <w:widowControl/>
              <w:spacing w:line="300" w:lineRule="exact"/>
              <w:jc w:val="center"/>
            </w:pPr>
          </w:p>
          <w:p>
            <w:pPr>
              <w:pStyle w:val="5"/>
              <w:jc w:val="center"/>
            </w:pPr>
            <w:r>
              <w:rPr>
                <w:rFonts w:hint="eastAsia" w:ascii="宋体" w:hAnsi="宋体" w:cs="仿宋" w:eastAsiaTheme="minorEastAsia"/>
                <w:b w:val="0"/>
                <w:kern w:val="0"/>
                <w:sz w:val="24"/>
                <w:szCs w:val="22"/>
              </w:rPr>
              <w:t>8</w:t>
            </w:r>
          </w:p>
        </w:tc>
        <w:tc>
          <w:tcPr>
            <w:tcW w:w="6270" w:type="dxa"/>
            <w:vAlign w:val="center"/>
          </w:tcPr>
          <w:p>
            <w:pPr>
              <w:tabs>
                <w:tab w:val="left" w:pos="5940"/>
              </w:tabs>
              <w:snapToGrid w:val="0"/>
              <w:spacing w:line="360" w:lineRule="auto"/>
              <w:ind w:firstLine="420" w:firstLineChars="200"/>
              <w:jc w:val="left"/>
            </w:pPr>
            <w:r>
              <w:rPr>
                <w:rFonts w:hint="eastAsia" w:ascii="宋体" w:hAnsi="宋体" w:cs="宋体"/>
                <w:szCs w:val="21"/>
              </w:rPr>
              <w:t>工作技术线路正确，选用依据标准准确，内容详实，章节条理清晰，有明确的服务质量保障措施以及验收承诺、有针对性方案的得8分；工作技术线路和选用标准基本能够符合项目需求，内容和章节有条理性的得6分；有工作技术线路和选用标准，服务质量保障措施以及验收承诺、方案有缺失的得4分；未提供不得分。</w:t>
            </w:r>
          </w:p>
        </w:tc>
        <w:tc>
          <w:tcPr>
            <w:tcW w:w="1092" w:type="dxa"/>
            <w:vAlign w:val="center"/>
          </w:tcPr>
          <w:p>
            <w:pPr>
              <w:widowControl/>
              <w:spacing w:line="300" w:lineRule="exact"/>
              <w:jc w:val="left"/>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8" w:hRule="atLeast"/>
          <w:jc w:val="center"/>
        </w:trPr>
        <w:tc>
          <w:tcPr>
            <w:tcW w:w="471" w:type="dxa"/>
            <w:vAlign w:val="center"/>
          </w:tcPr>
          <w:p>
            <w:pPr>
              <w:widowControl/>
              <w:spacing w:line="3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4</w:t>
            </w:r>
          </w:p>
        </w:tc>
        <w:tc>
          <w:tcPr>
            <w:tcW w:w="947" w:type="dxa"/>
            <w:vAlign w:val="center"/>
          </w:tcPr>
          <w:p>
            <w:pPr>
              <w:widowControl/>
              <w:spacing w:line="300" w:lineRule="exact"/>
              <w:jc w:val="center"/>
              <w:rPr>
                <w:rFonts w:ascii="宋体" w:hAnsi="宋体" w:cs="宋体"/>
                <w:b/>
                <w:bCs/>
                <w:szCs w:val="21"/>
              </w:rPr>
            </w:pPr>
            <w:r>
              <w:rPr>
                <w:rFonts w:hint="eastAsia" w:ascii="宋体" w:hAnsi="宋体" w:cs="宋体"/>
                <w:b/>
                <w:bCs/>
                <w:szCs w:val="21"/>
              </w:rPr>
              <w:t>工作内容组织实施及工作成果</w:t>
            </w:r>
          </w:p>
        </w:tc>
        <w:tc>
          <w:tcPr>
            <w:tcW w:w="466" w:type="dxa"/>
            <w:vAlign w:val="center"/>
          </w:tcPr>
          <w:p>
            <w:pPr>
              <w:pStyle w:val="5"/>
              <w:jc w:val="center"/>
              <w:rPr>
                <w:rFonts w:ascii="宋体" w:hAnsi="宋体" w:cs="仿宋" w:eastAsiaTheme="minorEastAsia"/>
                <w:b w:val="0"/>
                <w:kern w:val="0"/>
                <w:sz w:val="24"/>
                <w:szCs w:val="22"/>
              </w:rPr>
            </w:pPr>
            <w:r>
              <w:rPr>
                <w:rFonts w:hint="eastAsia" w:ascii="宋体" w:hAnsi="宋体" w:cs="仿宋" w:eastAsiaTheme="minorEastAsia"/>
                <w:b w:val="0"/>
                <w:kern w:val="0"/>
                <w:sz w:val="24"/>
                <w:szCs w:val="22"/>
              </w:rPr>
              <w:t>8</w:t>
            </w:r>
          </w:p>
        </w:tc>
        <w:tc>
          <w:tcPr>
            <w:tcW w:w="6270" w:type="dxa"/>
            <w:vAlign w:val="center"/>
          </w:tcPr>
          <w:p>
            <w:pPr>
              <w:tabs>
                <w:tab w:val="left" w:pos="5940"/>
              </w:tabs>
              <w:snapToGrid w:val="0"/>
              <w:spacing w:line="360" w:lineRule="auto"/>
              <w:ind w:firstLine="420" w:firstLineChars="200"/>
              <w:jc w:val="left"/>
            </w:pPr>
            <w:r>
              <w:rPr>
                <w:rFonts w:hint="eastAsia" w:ascii="宋体" w:hAnsi="宋体" w:cs="宋体"/>
                <w:szCs w:val="21"/>
              </w:rPr>
              <w:t>实施方案思路清晰，合理齐全，实施方法可行、全面，完全符合采购要求，各类专业人员分工明确，岗位职责清晰的得8分；实施方案概述全面，实施方法可行性较强，能够符合采购要求，有人员分工的得6分；方案基本完整、具有一定可实施性的，且可执行的得4分；方案内容有涉及，但存在缺陷的得4分。未提供不得分。</w:t>
            </w:r>
          </w:p>
        </w:tc>
        <w:tc>
          <w:tcPr>
            <w:tcW w:w="1092" w:type="dxa"/>
            <w:vAlign w:val="center"/>
          </w:tcPr>
          <w:p>
            <w:pPr>
              <w:widowControl/>
              <w:spacing w:line="300" w:lineRule="exact"/>
              <w:jc w:val="left"/>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471" w:type="dxa"/>
            <w:vAlign w:val="center"/>
          </w:tcPr>
          <w:p>
            <w:pPr>
              <w:widowControl/>
              <w:spacing w:line="3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5</w:t>
            </w:r>
          </w:p>
        </w:tc>
        <w:tc>
          <w:tcPr>
            <w:tcW w:w="947" w:type="dxa"/>
            <w:vAlign w:val="center"/>
          </w:tcPr>
          <w:p>
            <w:pPr>
              <w:widowControl/>
              <w:spacing w:line="300" w:lineRule="exact"/>
              <w:jc w:val="center"/>
              <w:rPr>
                <w:rFonts w:ascii="宋体" w:hAnsi="宋体" w:cs="宋体"/>
                <w:b/>
                <w:bCs/>
                <w:szCs w:val="21"/>
              </w:rPr>
            </w:pPr>
            <w:r>
              <w:rPr>
                <w:rFonts w:hint="eastAsia" w:ascii="宋体" w:hAnsi="宋体" w:cs="宋体"/>
                <w:b/>
                <w:bCs/>
                <w:szCs w:val="21"/>
              </w:rPr>
              <w:t>质量及进度控制方案</w:t>
            </w:r>
          </w:p>
        </w:tc>
        <w:tc>
          <w:tcPr>
            <w:tcW w:w="466" w:type="dxa"/>
            <w:vAlign w:val="center"/>
          </w:tcPr>
          <w:p>
            <w:pPr>
              <w:pStyle w:val="5"/>
              <w:jc w:val="center"/>
              <w:rPr>
                <w:rFonts w:ascii="宋体" w:hAnsi="宋体" w:cs="仿宋" w:eastAsiaTheme="minorEastAsia"/>
                <w:b w:val="0"/>
                <w:kern w:val="0"/>
                <w:sz w:val="24"/>
                <w:szCs w:val="22"/>
              </w:rPr>
            </w:pPr>
            <w:r>
              <w:rPr>
                <w:rFonts w:hint="eastAsia" w:ascii="宋体" w:hAnsi="宋体" w:cs="仿宋" w:eastAsiaTheme="minorEastAsia"/>
                <w:b w:val="0"/>
                <w:kern w:val="0"/>
                <w:sz w:val="24"/>
                <w:szCs w:val="22"/>
              </w:rPr>
              <w:t>8</w:t>
            </w:r>
          </w:p>
        </w:tc>
        <w:tc>
          <w:tcPr>
            <w:tcW w:w="6270" w:type="dxa"/>
            <w:vAlign w:val="center"/>
          </w:tcPr>
          <w:p>
            <w:pPr>
              <w:adjustRightInd w:val="0"/>
              <w:snapToGrid w:val="0"/>
              <w:spacing w:line="360" w:lineRule="auto"/>
              <w:ind w:firstLine="420" w:firstLineChars="200"/>
            </w:pPr>
            <w:r>
              <w:rPr>
                <w:rFonts w:hint="eastAsia" w:ascii="宋体" w:hAnsi="宋体" w:cs="宋体"/>
                <w:szCs w:val="21"/>
              </w:rPr>
              <w:t>项目计划安排科学、实施阶段划分合理、进度计划和工期有保障措施，附有详细说明及规范的计划进度图表且有明确的质量保障措施的得8分；项目有计划安排、实施阶段划分、有基本的质量保障措施的得6分；项目计划安排或工期保障措施有缺失的得4分；未提供不得分。</w:t>
            </w:r>
          </w:p>
        </w:tc>
        <w:tc>
          <w:tcPr>
            <w:tcW w:w="1092" w:type="dxa"/>
            <w:vAlign w:val="center"/>
          </w:tcPr>
          <w:p>
            <w:pPr>
              <w:widowControl/>
              <w:spacing w:line="300" w:lineRule="exact"/>
              <w:jc w:val="left"/>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1" w:hRule="atLeast"/>
          <w:jc w:val="center"/>
        </w:trPr>
        <w:tc>
          <w:tcPr>
            <w:tcW w:w="471" w:type="dxa"/>
            <w:vAlign w:val="center"/>
          </w:tcPr>
          <w:p>
            <w:pPr>
              <w:widowControl/>
              <w:spacing w:line="3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6</w:t>
            </w:r>
          </w:p>
        </w:tc>
        <w:tc>
          <w:tcPr>
            <w:tcW w:w="947" w:type="dxa"/>
            <w:vAlign w:val="center"/>
          </w:tcPr>
          <w:p>
            <w:pPr>
              <w:widowControl/>
              <w:spacing w:line="300" w:lineRule="exact"/>
              <w:jc w:val="center"/>
              <w:rPr>
                <w:rFonts w:ascii="宋体" w:hAnsi="宋体" w:cs="宋体"/>
                <w:b/>
                <w:bCs/>
                <w:szCs w:val="21"/>
              </w:rPr>
            </w:pPr>
            <w:r>
              <w:rPr>
                <w:rFonts w:hint="eastAsia" w:ascii="宋体" w:hAnsi="宋体" w:cs="宋体"/>
                <w:b/>
                <w:bCs/>
                <w:szCs w:val="21"/>
              </w:rPr>
              <w:t>服务质量保证</w:t>
            </w:r>
          </w:p>
        </w:tc>
        <w:tc>
          <w:tcPr>
            <w:tcW w:w="466" w:type="dxa"/>
            <w:vAlign w:val="center"/>
          </w:tcPr>
          <w:p>
            <w:pPr>
              <w:pStyle w:val="5"/>
              <w:jc w:val="center"/>
              <w:rPr>
                <w:rFonts w:ascii="宋体" w:hAnsi="宋体" w:cs="仿宋" w:eastAsiaTheme="minorEastAsia"/>
                <w:b w:val="0"/>
                <w:kern w:val="0"/>
                <w:sz w:val="24"/>
                <w:szCs w:val="22"/>
              </w:rPr>
            </w:pPr>
            <w:r>
              <w:rPr>
                <w:rFonts w:hint="eastAsia" w:ascii="宋体" w:hAnsi="宋体" w:cs="仿宋" w:eastAsiaTheme="minorEastAsia"/>
                <w:b w:val="0"/>
                <w:kern w:val="0"/>
                <w:sz w:val="24"/>
                <w:szCs w:val="22"/>
              </w:rPr>
              <w:t>10</w:t>
            </w:r>
          </w:p>
        </w:tc>
        <w:tc>
          <w:tcPr>
            <w:tcW w:w="6270" w:type="dxa"/>
            <w:vAlign w:val="center"/>
          </w:tcPr>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（1）内部管理制度（5分）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具有健全的岗位责任、岗位标准、管理人员考核制度及标准，并能涵盖本次采购内容的全过程的，附有详细说明及规范的图表的得5分；具有岗位责任、岗位标准、管理人员考核制度及标准，附有说明的得3分；制度内容简单有欠缺但有描述的得1分；未提供的不得分。</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（2）数据安全保密管理方案（5分）</w:t>
            </w:r>
          </w:p>
          <w:p>
            <w:pPr>
              <w:adjustRightInd w:val="0"/>
              <w:snapToGrid w:val="0"/>
              <w:spacing w:line="360" w:lineRule="auto"/>
              <w:ind w:firstLine="420" w:firstLineChars="200"/>
            </w:pPr>
            <w:r>
              <w:rPr>
                <w:rFonts w:hint="eastAsia" w:ascii="宋体" w:hAnsi="宋体" w:cs="宋体"/>
                <w:szCs w:val="21"/>
              </w:rPr>
              <w:t>数据安全管理制度以及保密制度符合本项目特点、有防范措施并有相关岗位职责的得5分；有基本的数据安全管理制度和保密制度的得3分；数据安全保密管理方案内容简单有欠缺但有描述的得1分；未提供的不得分。</w:t>
            </w:r>
          </w:p>
        </w:tc>
        <w:tc>
          <w:tcPr>
            <w:tcW w:w="1092" w:type="dxa"/>
            <w:vAlign w:val="center"/>
          </w:tcPr>
          <w:p>
            <w:pPr>
              <w:widowControl/>
              <w:spacing w:line="300" w:lineRule="exact"/>
              <w:jc w:val="left"/>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5" w:hRule="atLeast"/>
          <w:jc w:val="center"/>
        </w:trPr>
        <w:tc>
          <w:tcPr>
            <w:tcW w:w="471" w:type="dxa"/>
            <w:vAlign w:val="center"/>
          </w:tcPr>
          <w:p>
            <w:pPr>
              <w:widowControl/>
              <w:spacing w:line="3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7</w:t>
            </w:r>
          </w:p>
        </w:tc>
        <w:tc>
          <w:tcPr>
            <w:tcW w:w="947" w:type="dxa"/>
            <w:vAlign w:val="center"/>
          </w:tcPr>
          <w:p>
            <w:pPr>
              <w:widowControl/>
              <w:tabs>
                <w:tab w:val="left" w:pos="429"/>
              </w:tabs>
              <w:spacing w:line="300" w:lineRule="exact"/>
              <w:jc w:val="left"/>
              <w:rPr>
                <w:rFonts w:ascii="宋体" w:hAnsi="宋体" w:cs="宋体"/>
                <w:b/>
                <w:bCs/>
                <w:szCs w:val="21"/>
              </w:rPr>
            </w:pPr>
            <w:r>
              <w:rPr>
                <w:rFonts w:hint="eastAsia" w:ascii="宋体" w:hAnsi="宋体" w:cs="宋体"/>
                <w:b/>
                <w:bCs/>
                <w:szCs w:val="21"/>
              </w:rPr>
              <w:t>针对本项目的各项承诺、建设性意见与建议</w:t>
            </w:r>
          </w:p>
        </w:tc>
        <w:tc>
          <w:tcPr>
            <w:tcW w:w="466" w:type="dxa"/>
            <w:vAlign w:val="center"/>
          </w:tcPr>
          <w:p>
            <w:pPr>
              <w:pStyle w:val="5"/>
              <w:jc w:val="center"/>
              <w:rPr>
                <w:rFonts w:ascii="宋体" w:hAnsi="宋体" w:cs="仿宋" w:eastAsiaTheme="minorEastAsia"/>
                <w:b w:val="0"/>
                <w:kern w:val="0"/>
                <w:sz w:val="24"/>
                <w:szCs w:val="22"/>
              </w:rPr>
            </w:pPr>
            <w:r>
              <w:rPr>
                <w:rFonts w:hint="eastAsia" w:ascii="宋体" w:hAnsi="宋体" w:cs="仿宋" w:eastAsiaTheme="minorEastAsia"/>
                <w:b w:val="0"/>
                <w:kern w:val="0"/>
                <w:sz w:val="24"/>
                <w:szCs w:val="22"/>
              </w:rPr>
              <w:t>8</w:t>
            </w:r>
          </w:p>
        </w:tc>
        <w:tc>
          <w:tcPr>
            <w:tcW w:w="6270" w:type="dxa"/>
            <w:vAlign w:val="center"/>
          </w:tcPr>
          <w:p>
            <w:pPr>
              <w:adjustRightInd w:val="0"/>
              <w:snapToGrid w:val="0"/>
              <w:spacing w:line="360" w:lineRule="auto"/>
              <w:ind w:firstLine="420" w:firstLineChars="200"/>
            </w:pPr>
            <w:r>
              <w:rPr>
                <w:rFonts w:hint="eastAsia" w:ascii="宋体" w:hAnsi="宋体" w:cs="宋体"/>
                <w:szCs w:val="21"/>
              </w:rPr>
              <w:t>根据供应商提供的各项承诺，包括质量承诺、人员及设施设备投入承诺、对发生各类安全事故善后处理承诺、依法规范用工及应对履约期内的各类风险承诺；建设性意见与建议。各项承诺、意见与建议内容齐全且内容实质性意义满足项目要求的得8分；各项承诺、建议基本满足招标文件及采购需求的得6分；各项承诺、建议不全面或有缺项但有描述的得4份；各项承诺、意见与建议内容无实质性意义或未提供的说明的不得分。</w:t>
            </w:r>
          </w:p>
        </w:tc>
        <w:tc>
          <w:tcPr>
            <w:tcW w:w="1092" w:type="dxa"/>
            <w:vAlign w:val="center"/>
          </w:tcPr>
          <w:p>
            <w:pPr>
              <w:widowControl/>
              <w:spacing w:line="300" w:lineRule="exact"/>
              <w:jc w:val="left"/>
              <w:rPr>
                <w:rFonts w:asciiTheme="minorEastAsia" w:hAnsiTheme="minorEastAsia" w:eastAsiaTheme="minorEastAsia" w:cs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246" w:type="dxa"/>
            <w:gridSpan w:val="5"/>
            <w:vAlign w:val="center"/>
          </w:tcPr>
          <w:p>
            <w:pPr>
              <w:widowControl/>
              <w:tabs>
                <w:tab w:val="left" w:pos="2557"/>
              </w:tabs>
              <w:spacing w:line="300" w:lineRule="exact"/>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b/>
                <w:bCs/>
                <w:kern w:val="0"/>
                <w:szCs w:val="21"/>
              </w:rPr>
              <w:t>四、人员配置（总分17分）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2" w:hRule="atLeast"/>
          <w:jc w:val="center"/>
        </w:trPr>
        <w:tc>
          <w:tcPr>
            <w:tcW w:w="471" w:type="dxa"/>
            <w:vAlign w:val="center"/>
          </w:tcPr>
          <w:p>
            <w:pPr>
              <w:widowControl/>
              <w:spacing w:line="300" w:lineRule="exact"/>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8</w:t>
            </w:r>
          </w:p>
        </w:tc>
        <w:tc>
          <w:tcPr>
            <w:tcW w:w="947" w:type="dxa"/>
            <w:vAlign w:val="center"/>
          </w:tcPr>
          <w:p>
            <w:pPr>
              <w:widowControl/>
              <w:tabs>
                <w:tab w:val="left" w:pos="429"/>
              </w:tabs>
              <w:spacing w:line="300" w:lineRule="exact"/>
              <w:jc w:val="left"/>
              <w:rPr>
                <w:rFonts w:ascii="宋体" w:hAnsi="宋体" w:cs="宋体"/>
                <w:b/>
                <w:bCs/>
                <w:szCs w:val="21"/>
              </w:rPr>
            </w:pPr>
            <w:r>
              <w:rPr>
                <w:rFonts w:hint="eastAsia" w:ascii="宋体" w:hAnsi="宋体" w:cs="宋体"/>
                <w:b/>
                <w:bCs/>
                <w:szCs w:val="21"/>
              </w:rPr>
              <w:t>本项目人员配置</w:t>
            </w:r>
          </w:p>
        </w:tc>
        <w:tc>
          <w:tcPr>
            <w:tcW w:w="466" w:type="dxa"/>
            <w:vAlign w:val="center"/>
          </w:tcPr>
          <w:p>
            <w:pPr>
              <w:pStyle w:val="5"/>
              <w:jc w:val="center"/>
              <w:rPr>
                <w:rFonts w:ascii="宋体" w:hAnsi="宋体" w:cs="仿宋" w:eastAsiaTheme="minorEastAsia"/>
                <w:b w:val="0"/>
                <w:kern w:val="0"/>
                <w:sz w:val="24"/>
                <w:szCs w:val="22"/>
              </w:rPr>
            </w:pPr>
            <w:r>
              <w:rPr>
                <w:rFonts w:hint="eastAsia" w:ascii="宋体" w:hAnsi="宋体" w:cs="仿宋" w:eastAsiaTheme="minorEastAsia"/>
                <w:b w:val="0"/>
                <w:kern w:val="0"/>
                <w:sz w:val="24"/>
                <w:szCs w:val="22"/>
              </w:rPr>
              <w:t>17</w:t>
            </w:r>
          </w:p>
        </w:tc>
        <w:tc>
          <w:tcPr>
            <w:tcW w:w="6270" w:type="dxa"/>
            <w:vAlign w:val="center"/>
          </w:tcPr>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1、项目负责人（4分）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供应商拟投入的项目负责人同时具有研究员级高级工程师和注册测绘师证书的得4分，若仅有一项得2分，最高得4分。</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2、技术负责人（4分）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负责本项目的技术负责人具有土地、测绘类高级工程师得2分，注册测绘师证书的得2分，本项最高得4分。</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3、项目组成员（最高为9分）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（1）拟投入本项目的技术人员具有土地、测绘类高级工程师及以上职称的，每有一人得1分，最高得7分。</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（2）具有涉密人员证书的得2分。</w:t>
            </w:r>
          </w:p>
          <w:p>
            <w:pPr>
              <w:adjustRightInd w:val="0"/>
              <w:snapToGrid w:val="0"/>
              <w:spacing w:line="360" w:lineRule="auto"/>
              <w:ind w:firstLine="422" w:firstLineChars="200"/>
              <w:rPr>
                <w:rFonts w:asciiTheme="majorEastAsia" w:hAnsiTheme="majorEastAsia" w:eastAsiaTheme="majorEastAsia" w:cstheme="majorEastAsia"/>
                <w:sz w:val="24"/>
                <w:szCs w:val="24"/>
              </w:rPr>
            </w:pPr>
            <w:r>
              <w:rPr>
                <w:rFonts w:hint="eastAsia" w:ascii="宋体" w:hAnsi="宋体" w:cs="宋体"/>
                <w:b/>
                <w:bCs/>
                <w:szCs w:val="21"/>
              </w:rPr>
              <w:t>注：上述评分项涉及针对本项目配备的负责人不得重复，响应文件中须提供以上人员相对应的有效证书或相关证明材料，及供应商为其缴纳的最近一期社保缴纳证明，不提供不得分。同一人仅认同一次，不重复计分。</w:t>
            </w:r>
          </w:p>
        </w:tc>
        <w:tc>
          <w:tcPr>
            <w:tcW w:w="1092" w:type="dxa"/>
            <w:vAlign w:val="center"/>
          </w:tcPr>
          <w:p>
            <w:pPr>
              <w:widowControl/>
              <w:spacing w:line="300" w:lineRule="exact"/>
              <w:jc w:val="left"/>
            </w:pPr>
          </w:p>
          <w:p>
            <w:pPr>
              <w:jc w:val="center"/>
              <w:rPr>
                <w:rFonts w:ascii="Calibri" w:hAnsi="Calibri"/>
                <w:szCs w:val="22"/>
              </w:rPr>
            </w:pPr>
          </w:p>
        </w:tc>
      </w:tr>
    </w:tbl>
    <w:p>
      <w:pPr>
        <w:tabs>
          <w:tab w:val="left" w:pos="5940"/>
        </w:tabs>
        <w:adjustRightInd w:val="0"/>
        <w:snapToGrid w:val="0"/>
        <w:spacing w:line="360" w:lineRule="auto"/>
        <w:ind w:firstLine="422" w:firstLineChars="200"/>
        <w:jc w:val="left"/>
        <w:rPr>
          <w:rFonts w:ascii="宋体" w:hAnsi="宋体" w:cs="宋体"/>
          <w:b/>
          <w:szCs w:val="21"/>
        </w:rPr>
      </w:pPr>
      <w:r>
        <w:rPr>
          <w:rFonts w:hint="eastAsia" w:ascii="宋体" w:hAnsi="宋体" w:cs="宋体"/>
          <w:b/>
          <w:szCs w:val="21"/>
        </w:rPr>
        <w:t>注：</w:t>
      </w:r>
    </w:p>
    <w:p>
      <w:pPr>
        <w:tabs>
          <w:tab w:val="left" w:pos="5940"/>
        </w:tabs>
        <w:adjustRightInd w:val="0"/>
        <w:snapToGrid w:val="0"/>
        <w:spacing w:line="360" w:lineRule="auto"/>
        <w:ind w:firstLine="422" w:firstLineChars="200"/>
        <w:jc w:val="left"/>
        <w:rPr>
          <w:rFonts w:ascii="宋体" w:hAnsi="宋体" w:cs="宋体"/>
          <w:b/>
          <w:szCs w:val="21"/>
        </w:rPr>
      </w:pPr>
      <w:r>
        <w:rPr>
          <w:rFonts w:hint="eastAsia" w:ascii="宋体" w:hAnsi="宋体" w:cs="宋体"/>
          <w:b/>
          <w:szCs w:val="21"/>
        </w:rPr>
        <w:t>1.评分细则中要求提供的证明文件及资料等在磋商响应文件中提供复印件并加盖鲜章，要求“原件或公证件核查”的必须将原件或公证件携带至开标现场核查，否则不得分。</w:t>
      </w:r>
    </w:p>
    <w:p>
      <w:pPr>
        <w:tabs>
          <w:tab w:val="left" w:pos="5940"/>
        </w:tabs>
        <w:adjustRightInd w:val="0"/>
        <w:snapToGrid w:val="0"/>
        <w:spacing w:line="360" w:lineRule="auto"/>
        <w:ind w:firstLine="422" w:firstLineChars="200"/>
        <w:jc w:val="left"/>
        <w:rPr>
          <w:rFonts w:ascii="宋体" w:hAnsi="宋体" w:cs="宋体"/>
          <w:b/>
          <w:szCs w:val="21"/>
        </w:rPr>
      </w:pPr>
      <w:r>
        <w:rPr>
          <w:rFonts w:hint="eastAsia" w:ascii="宋体" w:hAnsi="宋体" w:cs="宋体"/>
          <w:b/>
          <w:szCs w:val="21"/>
        </w:rPr>
        <w:t>2.评审时，未能按以上要求提供相应证明（复印件和原件、公证件）的，不作为评审依据，不得分。</w:t>
      </w:r>
    </w:p>
    <w:p>
      <w:pPr>
        <w:pStyle w:val="57"/>
        <w:adjustRightInd w:val="0"/>
        <w:snapToGrid w:val="0"/>
        <w:spacing w:line="360" w:lineRule="auto"/>
        <w:ind w:firstLineChars="0"/>
        <w:rPr>
          <w:rFonts w:ascii="宋体" w:hAnsi="宋体" w:cs="宋体"/>
          <w:b/>
          <w:sz w:val="21"/>
          <w:szCs w:val="21"/>
        </w:rPr>
      </w:pPr>
      <w:r>
        <w:rPr>
          <w:rFonts w:hint="eastAsia" w:ascii="宋体" w:hAnsi="宋体" w:cs="宋体"/>
          <w:b/>
          <w:sz w:val="21"/>
          <w:szCs w:val="21"/>
        </w:rPr>
        <w:t>3.为便于评分，请供应商按评分表样式，逐条列出证明材料所在页码，格式自定。</w:t>
      </w:r>
    </w:p>
    <w:p>
      <w:pPr>
        <w:spacing w:line="360" w:lineRule="auto"/>
        <w:jc w:val="center"/>
        <w:rPr>
          <w:rFonts w:ascii="宋体" w:hAnsi="宋体" w:cs="宋体"/>
          <w:b/>
          <w:sz w:val="30"/>
          <w:szCs w:val="30"/>
        </w:rPr>
        <w:sectPr>
          <w:headerReference r:id="rId5" w:type="first"/>
          <w:headerReference r:id="rId3" w:type="default"/>
          <w:footerReference r:id="rId6" w:type="default"/>
          <w:headerReference r:id="rId4" w:type="even"/>
          <w:footerReference r:id="rId7" w:type="even"/>
          <w:pgSz w:w="11907" w:h="16839"/>
          <w:pgMar w:top="1440" w:right="1080" w:bottom="1440" w:left="1080" w:header="851" w:footer="992" w:gutter="0"/>
          <w:cols w:space="720" w:num="1"/>
          <w:docGrid w:type="lines" w:linePitch="312" w:charSpace="0"/>
        </w:sectPr>
      </w:pPr>
    </w:p>
    <w:p>
      <w:pPr>
        <w:pStyle w:val="3"/>
        <w:numPr>
          <w:ilvl w:val="0"/>
          <w:numId w:val="2"/>
        </w:numPr>
        <w:spacing w:line="360" w:lineRule="auto"/>
        <w:rPr>
          <w:rFonts w:ascii="宋体" w:hAnsi="宋体" w:cs="宋体"/>
        </w:rPr>
      </w:pPr>
      <w:r>
        <w:rPr>
          <w:rFonts w:hint="eastAsia" w:ascii="宋体" w:hAnsi="宋体" w:cs="宋体"/>
        </w:rPr>
        <w:t xml:space="preserve"> 磋商响应文件的组成</w:t>
      </w:r>
      <w:bookmarkEnd w:id="5"/>
    </w:p>
    <w:p>
      <w:pPr>
        <w:spacing w:line="360" w:lineRule="auto"/>
      </w:pP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一、资格审查材料</w:t>
      </w:r>
    </w:p>
    <w:p>
      <w:pPr>
        <w:spacing w:line="360" w:lineRule="auto"/>
        <w:ind w:firstLine="422" w:firstLineChars="201"/>
        <w:rPr>
          <w:rFonts w:ascii="宋体" w:hAnsi="宋体" w:cs="宋体"/>
          <w:szCs w:val="21"/>
        </w:rPr>
      </w:pPr>
      <w:r>
        <w:rPr>
          <w:rFonts w:hint="eastAsia" w:ascii="宋体" w:hAnsi="宋体" w:cs="宋体"/>
          <w:szCs w:val="21"/>
        </w:rPr>
        <w:t>*1.供应商资格声明函</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*2.磋商响应函</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*3.法人或者其他组织的营业执照等证明文件，自然人的身份证明复印件（双面）</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*4.法定代表人资格证明书、法定代表人身份证复印件（双面）</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*5.授权委托书、代理人身份证复印件（双面）、供应商近三个月内任意一个月（自磋商之日往前推）为其缴纳社保的记录（如果有授权委托情况的，必须提供）</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*6.政府采购供应商信用承诺书</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*7.</w:t>
      </w:r>
      <w:r>
        <w:rPr>
          <w:rFonts w:hint="eastAsia" w:ascii="宋体" w:hAnsi="宋体" w:cs="宋体"/>
          <w:b/>
          <w:bCs/>
        </w:rPr>
        <w:t>供应商</w:t>
      </w:r>
      <w:r>
        <w:rPr>
          <w:rFonts w:hint="eastAsia" w:ascii="宋体" w:hAnsi="宋体" w:cs="宋体"/>
          <w:b/>
          <w:bCs/>
          <w:szCs w:val="21"/>
        </w:rPr>
        <w:t>同时具有土地规划机构等级证书丙级和测绘资质证书乙级或以上资质。（供应商土地规划、测绘资质，因国家机构改革，证书有效期过期未予补办，依旧视为资质有效。）</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二、价格及有关商务部分材料</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*1.报价一览表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*2.磋商分项报价表</w:t>
      </w:r>
    </w:p>
    <w:p>
      <w:pPr>
        <w:adjustRightInd w:val="0"/>
        <w:snapToGrid w:val="0"/>
        <w:spacing w:line="360" w:lineRule="auto"/>
        <w:ind w:firstLine="422" w:firstLineChars="200"/>
        <w:rPr>
          <w:rFonts w:ascii="宋体" w:hAnsi="宋体" w:cs="宋体"/>
          <w:b/>
          <w:szCs w:val="21"/>
        </w:rPr>
      </w:pPr>
      <w:r>
        <w:rPr>
          <w:rFonts w:hint="eastAsia" w:ascii="宋体" w:hAnsi="宋体" w:cs="宋体"/>
          <w:b/>
          <w:szCs w:val="21"/>
        </w:rPr>
        <w:t>三、技术部分材料</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1.供应商简介</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*2.服务方案，包括人员配置、</w:t>
      </w:r>
      <w:r>
        <w:rPr>
          <w:rFonts w:hint="eastAsia" w:ascii="宋体" w:hAnsi="宋体" w:cs="宋体"/>
          <w:szCs w:val="24"/>
        </w:rPr>
        <w:t>服务详细实施方案</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*3.服务承诺</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*4.偏离表</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5.其他评审相关资料</w:t>
      </w:r>
    </w:p>
    <w:p>
      <w:pPr>
        <w:adjustRightInd w:val="0"/>
        <w:snapToGrid w:val="0"/>
        <w:spacing w:line="360" w:lineRule="auto"/>
        <w:ind w:firstLine="422" w:firstLineChars="200"/>
        <w:rPr>
          <w:rFonts w:ascii="宋体" w:hAnsi="宋体" w:cs="宋体"/>
          <w:b/>
          <w:bCs/>
          <w:szCs w:val="21"/>
        </w:rPr>
      </w:pPr>
      <w:r>
        <w:rPr>
          <w:rFonts w:hint="eastAsia" w:ascii="宋体" w:hAnsi="宋体" w:cs="宋体"/>
          <w:b/>
          <w:bCs/>
          <w:szCs w:val="21"/>
        </w:rPr>
        <w:t>四、说明</w:t>
      </w:r>
    </w:p>
    <w:p>
      <w:pPr>
        <w:adjustRightInd w:val="0"/>
        <w:snapToGrid w:val="0"/>
        <w:spacing w:line="360" w:lineRule="auto"/>
        <w:ind w:firstLine="420" w:firstLineChars="200"/>
        <w:rPr>
          <w:rFonts w:ascii="宋体" w:hAnsi="宋体" w:cs="宋体"/>
          <w:b/>
          <w:bCs/>
          <w:szCs w:val="21"/>
        </w:rPr>
      </w:pPr>
      <w:r>
        <w:rPr>
          <w:rFonts w:hint="eastAsia" w:ascii="宋体" w:hAnsi="宋体" w:cs="宋体"/>
          <w:szCs w:val="21"/>
        </w:rPr>
        <w:t>1.上述带“*”条款供应商必须在磋商响应文件中提供并加盖供应商公章，并按照要求签字、盖章，否则将作为无效响应处理。</w:t>
      </w:r>
      <w:r>
        <w:rPr>
          <w:rFonts w:hint="eastAsia" w:ascii="宋体" w:hAnsi="宋体" w:cs="宋体"/>
          <w:b/>
          <w:bCs/>
          <w:szCs w:val="21"/>
        </w:rPr>
        <w:t>未加盖公章的视为未提供该项材料。所有项目若有缺失或无效将可能导致磋商无效且不允许在磋商响应文件提交截止后补正。</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2.对本章所有的格式，供应商可根据自身情况进行补充和修改，但补充和修改不得造成与本格式内容有实质性的违背。供应商可提供其它相关的证明材料（不限于此）。</w:t>
      </w:r>
    </w:p>
    <w:p>
      <w:pPr>
        <w:adjustRightInd w:val="0"/>
        <w:snapToGrid w:val="0"/>
        <w:spacing w:line="360" w:lineRule="auto"/>
        <w:ind w:firstLine="420" w:firstLineChars="200"/>
        <w:rPr>
          <w:rFonts w:ascii="宋体" w:hAnsi="宋体" w:cs="宋体"/>
          <w:b/>
          <w:szCs w:val="21"/>
        </w:rPr>
      </w:pPr>
      <w:r>
        <w:rPr>
          <w:rFonts w:hint="eastAsia" w:ascii="宋体" w:hAnsi="宋体" w:cs="宋体"/>
          <w:szCs w:val="21"/>
        </w:rPr>
        <w:t>3.供应商需按磋商响应文件的组成要求进行编制，同时提供评分索引表。</w:t>
      </w:r>
    </w:p>
    <w:p>
      <w:pPr>
        <w:spacing w:line="360" w:lineRule="auto"/>
        <w:jc w:val="center"/>
        <w:rPr>
          <w:rFonts w:ascii="宋体" w:hAnsi="宋体" w:cs="宋体"/>
          <w:b/>
          <w:sz w:val="30"/>
          <w:szCs w:val="30"/>
        </w:rPr>
      </w:pPr>
    </w:p>
    <w:p>
      <w:pPr>
        <w:spacing w:line="360" w:lineRule="auto"/>
        <w:jc w:val="center"/>
        <w:rPr>
          <w:rFonts w:ascii="宋体" w:hAnsi="宋体" w:cs="宋体"/>
          <w:b/>
          <w:sz w:val="30"/>
          <w:szCs w:val="30"/>
        </w:rPr>
      </w:pPr>
    </w:p>
    <w:p>
      <w:pPr>
        <w:pStyle w:val="3"/>
        <w:spacing w:line="360" w:lineRule="auto"/>
        <w:jc w:val="both"/>
        <w:rPr>
          <w:rFonts w:ascii="宋体" w:hAnsi="宋体" w:cs="宋体"/>
        </w:rPr>
      </w:pPr>
      <w:r>
        <w:rPr>
          <w:rFonts w:hint="eastAsia" w:ascii="宋体" w:hAnsi="宋体" w:cs="宋体"/>
        </w:rPr>
        <w:br w:type="page"/>
      </w:r>
      <w:bookmarkStart w:id="6" w:name="_Toc17537932"/>
      <w:r>
        <w:rPr>
          <w:rFonts w:hint="eastAsia" w:ascii="宋体" w:hAnsi="宋体" w:cs="宋体"/>
        </w:rPr>
        <w:t>第六章  附    件</w:t>
      </w:r>
      <w:bookmarkEnd w:id="6"/>
    </w:p>
    <w:p>
      <w:pPr>
        <w:pStyle w:val="7"/>
        <w:adjustRightInd/>
        <w:spacing w:line="360" w:lineRule="auto"/>
        <w:ind w:firstLine="0"/>
        <w:rPr>
          <w:b/>
          <w:sz w:val="28"/>
          <w:szCs w:val="28"/>
        </w:rPr>
      </w:pPr>
      <w:r>
        <w:rPr>
          <w:rFonts w:hint="eastAsia" w:hAnsi="宋体" w:cs="宋体"/>
          <w:b/>
          <w:sz w:val="28"/>
        </w:rPr>
        <w:t>1.供应商资格声明函</w:t>
      </w:r>
    </w:p>
    <w:p>
      <w:pPr>
        <w:pStyle w:val="49"/>
        <w:adjustRightInd/>
        <w:spacing w:line="360" w:lineRule="auto"/>
        <w:jc w:val="center"/>
        <w:rPr>
          <w:rFonts w:cs="宋体"/>
          <w:b/>
          <w:sz w:val="28"/>
          <w:szCs w:val="28"/>
        </w:rPr>
      </w:pPr>
      <w:r>
        <w:rPr>
          <w:rFonts w:hint="eastAsia" w:cs="宋体"/>
          <w:b/>
          <w:sz w:val="28"/>
          <w:szCs w:val="28"/>
        </w:rPr>
        <w:t>供应商资格声明函</w:t>
      </w:r>
    </w:p>
    <w:p>
      <w:pPr>
        <w:pStyle w:val="19"/>
        <w:spacing w:line="360" w:lineRule="auto"/>
      </w:pPr>
    </w:p>
    <w:p>
      <w:pPr>
        <w:pStyle w:val="7"/>
        <w:snapToGrid w:val="0"/>
        <w:spacing w:line="360" w:lineRule="auto"/>
        <w:ind w:firstLine="0"/>
        <w:rPr>
          <w:sz w:val="21"/>
          <w:szCs w:val="21"/>
        </w:rPr>
      </w:pPr>
      <w:r>
        <w:rPr>
          <w:rFonts w:hint="eastAsia"/>
          <w:sz w:val="21"/>
          <w:szCs w:val="21"/>
        </w:rPr>
        <w:t>常州市天宁区住房和城乡建设局、江苏畅誉项目管理有限公司：</w:t>
      </w:r>
    </w:p>
    <w:p>
      <w:pPr>
        <w:pStyle w:val="7"/>
        <w:snapToGrid w:val="0"/>
        <w:spacing w:line="360" w:lineRule="auto"/>
        <w:ind w:firstLine="480"/>
        <w:rPr>
          <w:sz w:val="21"/>
          <w:szCs w:val="21"/>
        </w:rPr>
      </w:pPr>
      <w:r>
        <w:rPr>
          <w:rFonts w:hint="eastAsia"/>
          <w:sz w:val="21"/>
          <w:szCs w:val="21"/>
        </w:rPr>
        <w:t>按照竞争性磋商文件要求的“申请人的资格要求”，我单位郑重声明如下：</w:t>
      </w:r>
    </w:p>
    <w:p>
      <w:pPr>
        <w:pStyle w:val="7"/>
        <w:snapToGrid w:val="0"/>
        <w:spacing w:line="360" w:lineRule="auto"/>
        <w:ind w:firstLine="480"/>
        <w:rPr>
          <w:sz w:val="21"/>
          <w:szCs w:val="21"/>
        </w:rPr>
      </w:pPr>
      <w:r>
        <w:rPr>
          <w:rFonts w:hint="eastAsia"/>
          <w:sz w:val="21"/>
          <w:szCs w:val="21"/>
        </w:rPr>
        <w:t>一、我单位是按照中华人民共和国法律规定登记注册的，注册地点为，全称为，统一社会信用代码为，法定代表人（单位负责人）为，具有独立承担民事责任的能力</w:t>
      </w:r>
      <w:r>
        <w:rPr>
          <w:rFonts w:hint="eastAsia"/>
          <w:b/>
          <w:sz w:val="21"/>
          <w:szCs w:val="21"/>
        </w:rPr>
        <w:t>（如属于分公司经总公司授权参与项目，由总公司承担民事责任的，需提供总公司项目授权书）</w:t>
      </w:r>
      <w:r>
        <w:rPr>
          <w:rFonts w:hint="eastAsia"/>
          <w:sz w:val="21"/>
          <w:szCs w:val="21"/>
        </w:rPr>
        <w:t>。</w:t>
      </w:r>
    </w:p>
    <w:p>
      <w:pPr>
        <w:pStyle w:val="7"/>
        <w:snapToGrid w:val="0"/>
        <w:spacing w:line="360" w:lineRule="auto"/>
        <w:ind w:firstLine="480"/>
        <w:rPr>
          <w:sz w:val="21"/>
          <w:szCs w:val="21"/>
        </w:rPr>
      </w:pPr>
      <w:r>
        <w:rPr>
          <w:rFonts w:hint="eastAsia"/>
          <w:sz w:val="21"/>
          <w:szCs w:val="21"/>
        </w:rPr>
        <w:t>二、我单位未被“国家企业信用信息系统”列入经营异常名录或者严重违法企业名单。</w:t>
      </w:r>
    </w:p>
    <w:p>
      <w:pPr>
        <w:pStyle w:val="7"/>
        <w:snapToGrid w:val="0"/>
        <w:spacing w:line="360" w:lineRule="auto"/>
        <w:ind w:firstLine="480"/>
        <w:rPr>
          <w:sz w:val="21"/>
          <w:szCs w:val="21"/>
        </w:rPr>
      </w:pPr>
      <w:r>
        <w:rPr>
          <w:rFonts w:hint="eastAsia"/>
          <w:sz w:val="21"/>
          <w:szCs w:val="21"/>
        </w:rPr>
        <w:t>三、我单位具有良好的商业信誉（指供应商经营状况良好，无本资格声明第十条情形）和健全的财务会计制度。</w:t>
      </w:r>
    </w:p>
    <w:p>
      <w:pPr>
        <w:pStyle w:val="7"/>
        <w:snapToGrid w:val="0"/>
        <w:spacing w:line="360" w:lineRule="auto"/>
        <w:ind w:firstLine="480"/>
        <w:rPr>
          <w:sz w:val="21"/>
          <w:szCs w:val="21"/>
        </w:rPr>
      </w:pPr>
      <w:r>
        <w:rPr>
          <w:rFonts w:hint="eastAsia"/>
          <w:sz w:val="21"/>
          <w:szCs w:val="21"/>
        </w:rPr>
        <w:t>四、我单位依法进行纳税和社会保险申报并实际履行了义务。</w:t>
      </w:r>
    </w:p>
    <w:p>
      <w:pPr>
        <w:pStyle w:val="7"/>
        <w:snapToGrid w:val="0"/>
        <w:spacing w:line="360" w:lineRule="auto"/>
        <w:ind w:firstLine="480"/>
        <w:rPr>
          <w:sz w:val="21"/>
          <w:szCs w:val="21"/>
        </w:rPr>
      </w:pPr>
      <w:r>
        <w:rPr>
          <w:rFonts w:hint="eastAsia"/>
          <w:sz w:val="21"/>
          <w:szCs w:val="21"/>
        </w:rPr>
        <w:t>五、我单位具有履行本项目采购合同所必需的设备和专业技术能力，并具有履行合同的良好记录。为履行本项采购合同我单位具备如下主要设备和主要专业技术能力</w:t>
      </w:r>
      <w:r>
        <w:rPr>
          <w:sz w:val="21"/>
          <w:szCs w:val="21"/>
        </w:rPr>
        <w:t>:</w:t>
      </w:r>
    </w:p>
    <w:p>
      <w:pPr>
        <w:pStyle w:val="7"/>
        <w:snapToGrid w:val="0"/>
        <w:spacing w:line="360" w:lineRule="auto"/>
        <w:ind w:firstLine="480"/>
        <w:rPr>
          <w:sz w:val="21"/>
          <w:szCs w:val="21"/>
        </w:rPr>
      </w:pPr>
      <w:r>
        <w:rPr>
          <w:rFonts w:hint="eastAsia"/>
          <w:sz w:val="21"/>
          <w:szCs w:val="21"/>
        </w:rPr>
        <w:t>主要设备有：</w:t>
      </w:r>
    </w:p>
    <w:p>
      <w:pPr>
        <w:pStyle w:val="7"/>
        <w:snapToGrid w:val="0"/>
        <w:spacing w:line="360" w:lineRule="auto"/>
        <w:ind w:firstLine="480"/>
        <w:rPr>
          <w:sz w:val="21"/>
          <w:szCs w:val="21"/>
        </w:rPr>
      </w:pPr>
      <w:r>
        <w:rPr>
          <w:rFonts w:hint="eastAsia"/>
          <w:sz w:val="21"/>
          <w:szCs w:val="21"/>
        </w:rPr>
        <w:t>主要专业技术能力有</w:t>
      </w:r>
    </w:p>
    <w:p>
      <w:pPr>
        <w:pStyle w:val="7"/>
        <w:snapToGrid w:val="0"/>
        <w:spacing w:line="360" w:lineRule="auto"/>
        <w:ind w:firstLine="480"/>
        <w:rPr>
          <w:sz w:val="21"/>
          <w:szCs w:val="21"/>
        </w:rPr>
      </w:pPr>
      <w:r>
        <w:rPr>
          <w:rFonts w:hint="eastAsia"/>
          <w:sz w:val="21"/>
          <w:szCs w:val="21"/>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w:t>
      </w:r>
      <w:r>
        <w:rPr>
          <w:sz w:val="21"/>
          <w:szCs w:val="21"/>
        </w:rPr>
        <w:t>3</w:t>
      </w:r>
      <w:r>
        <w:rPr>
          <w:rFonts w:hint="eastAsia"/>
          <w:sz w:val="21"/>
          <w:szCs w:val="21"/>
        </w:rPr>
        <w:t>年内因违法经营被禁止在一定期限内参加采购活动，期限届满的，可以参加采购活动。）</w:t>
      </w:r>
    </w:p>
    <w:p>
      <w:pPr>
        <w:pStyle w:val="7"/>
        <w:snapToGrid w:val="0"/>
        <w:spacing w:line="360" w:lineRule="auto"/>
        <w:ind w:firstLine="480"/>
        <w:rPr>
          <w:sz w:val="21"/>
          <w:szCs w:val="21"/>
        </w:rPr>
      </w:pPr>
      <w:r>
        <w:rPr>
          <w:rFonts w:hint="eastAsia"/>
          <w:sz w:val="21"/>
          <w:szCs w:val="21"/>
        </w:rPr>
        <w:t>七、我单位具备法律、行政法规规定的其他条件。</w:t>
      </w:r>
    </w:p>
    <w:p>
      <w:pPr>
        <w:pStyle w:val="7"/>
        <w:snapToGrid w:val="0"/>
        <w:spacing w:line="360" w:lineRule="auto"/>
        <w:ind w:firstLine="480"/>
        <w:rPr>
          <w:sz w:val="21"/>
          <w:szCs w:val="21"/>
        </w:rPr>
      </w:pPr>
      <w:r>
        <w:rPr>
          <w:rFonts w:hint="eastAsia"/>
          <w:sz w:val="21"/>
          <w:szCs w:val="21"/>
        </w:rPr>
        <w:t>八、与我单位存在“单位负责人为同一人或者存在直接控股、管理关系”的其他单位信息如下（如无此情形的，填写“无”）：</w:t>
      </w:r>
    </w:p>
    <w:p>
      <w:pPr>
        <w:pStyle w:val="7"/>
        <w:snapToGrid w:val="0"/>
        <w:spacing w:line="360" w:lineRule="auto"/>
        <w:ind w:firstLine="480"/>
        <w:rPr>
          <w:sz w:val="21"/>
          <w:szCs w:val="21"/>
        </w:rPr>
      </w:pPr>
      <w:r>
        <w:rPr>
          <w:sz w:val="21"/>
          <w:szCs w:val="21"/>
        </w:rPr>
        <w:t>1</w:t>
      </w:r>
      <w:r>
        <w:rPr>
          <w:rFonts w:hint="eastAsia"/>
          <w:sz w:val="21"/>
          <w:szCs w:val="21"/>
        </w:rPr>
        <w:t>.与我单位的法定代表人（单位负责人）为同一人的其他单位如下：</w:t>
      </w:r>
    </w:p>
    <w:p>
      <w:pPr>
        <w:pStyle w:val="7"/>
        <w:snapToGrid w:val="0"/>
        <w:spacing w:line="360" w:lineRule="auto"/>
        <w:ind w:firstLine="480"/>
        <w:rPr>
          <w:sz w:val="21"/>
          <w:szCs w:val="21"/>
        </w:rPr>
      </w:pPr>
      <w:r>
        <w:rPr>
          <w:sz w:val="21"/>
          <w:szCs w:val="21"/>
        </w:rPr>
        <w:t>2</w:t>
      </w:r>
      <w:r>
        <w:rPr>
          <w:rFonts w:hint="eastAsia"/>
          <w:sz w:val="21"/>
          <w:szCs w:val="21"/>
        </w:rPr>
        <w:t>.我单位直接控股的其他单位如下：</w:t>
      </w:r>
    </w:p>
    <w:p>
      <w:pPr>
        <w:pStyle w:val="7"/>
        <w:snapToGrid w:val="0"/>
        <w:spacing w:line="360" w:lineRule="auto"/>
        <w:ind w:firstLine="480"/>
        <w:rPr>
          <w:sz w:val="21"/>
          <w:szCs w:val="21"/>
        </w:rPr>
      </w:pPr>
      <w:r>
        <w:rPr>
          <w:sz w:val="21"/>
          <w:szCs w:val="21"/>
        </w:rPr>
        <w:t>3</w:t>
      </w:r>
      <w:r>
        <w:rPr>
          <w:rFonts w:hint="eastAsia"/>
          <w:sz w:val="21"/>
          <w:szCs w:val="21"/>
        </w:rPr>
        <w:t>.与我单位存在管理关系的其他单位如下：</w:t>
      </w:r>
    </w:p>
    <w:p>
      <w:pPr>
        <w:pStyle w:val="7"/>
        <w:snapToGrid w:val="0"/>
        <w:spacing w:line="360" w:lineRule="auto"/>
        <w:ind w:firstLine="480"/>
        <w:rPr>
          <w:sz w:val="21"/>
          <w:szCs w:val="21"/>
        </w:rPr>
      </w:pPr>
      <w:r>
        <w:rPr>
          <w:rFonts w:hint="eastAsia"/>
          <w:sz w:val="21"/>
          <w:szCs w:val="21"/>
        </w:rPr>
        <w:t>九、我单位不属于为本项目提供整体设计、规范编制或者项目管理、监理、检测等服务的供应商。</w:t>
      </w:r>
    </w:p>
    <w:p>
      <w:pPr>
        <w:pStyle w:val="7"/>
        <w:snapToGrid w:val="0"/>
        <w:spacing w:line="360" w:lineRule="auto"/>
        <w:ind w:firstLine="480"/>
        <w:rPr>
          <w:sz w:val="21"/>
          <w:szCs w:val="21"/>
        </w:rPr>
      </w:pPr>
      <w:r>
        <w:rPr>
          <w:rFonts w:hint="eastAsia"/>
          <w:sz w:val="21"/>
          <w:szCs w:val="21"/>
        </w:rPr>
        <w:t>十、我单位无以下不良信用记录情形：</w:t>
      </w:r>
    </w:p>
    <w:p>
      <w:pPr>
        <w:pStyle w:val="7"/>
        <w:snapToGrid w:val="0"/>
        <w:spacing w:line="360" w:lineRule="auto"/>
        <w:ind w:firstLine="480"/>
        <w:rPr>
          <w:sz w:val="21"/>
          <w:szCs w:val="21"/>
        </w:rPr>
      </w:pPr>
      <w:r>
        <w:rPr>
          <w:sz w:val="21"/>
          <w:szCs w:val="21"/>
        </w:rPr>
        <w:t>1</w:t>
      </w:r>
      <w:r>
        <w:rPr>
          <w:rFonts w:hint="eastAsia"/>
          <w:sz w:val="21"/>
          <w:szCs w:val="21"/>
        </w:rPr>
        <w:t>.在“信用中国”网站被列入失信被执行人和重大税收违法案件当事人名单；</w:t>
      </w:r>
    </w:p>
    <w:p>
      <w:pPr>
        <w:pStyle w:val="7"/>
        <w:snapToGrid w:val="0"/>
        <w:spacing w:line="360" w:lineRule="auto"/>
        <w:ind w:firstLine="480"/>
        <w:rPr>
          <w:sz w:val="21"/>
          <w:szCs w:val="21"/>
        </w:rPr>
      </w:pPr>
      <w:r>
        <w:rPr>
          <w:sz w:val="21"/>
          <w:szCs w:val="21"/>
        </w:rPr>
        <w:t>2</w:t>
      </w:r>
      <w:r>
        <w:rPr>
          <w:rFonts w:hint="eastAsia"/>
          <w:sz w:val="21"/>
          <w:szCs w:val="21"/>
        </w:rPr>
        <w:t>.在“中国政府采购网”网站被列入政府采购严重违法失信行为记录名单；</w:t>
      </w:r>
    </w:p>
    <w:p>
      <w:pPr>
        <w:pStyle w:val="7"/>
        <w:snapToGrid w:val="0"/>
        <w:spacing w:line="360" w:lineRule="auto"/>
        <w:ind w:firstLine="480"/>
        <w:rPr>
          <w:sz w:val="21"/>
          <w:szCs w:val="21"/>
        </w:rPr>
      </w:pPr>
      <w:r>
        <w:rPr>
          <w:sz w:val="21"/>
          <w:szCs w:val="21"/>
        </w:rPr>
        <w:t>3</w:t>
      </w:r>
      <w:r>
        <w:rPr>
          <w:rFonts w:hint="eastAsia"/>
          <w:sz w:val="21"/>
          <w:szCs w:val="21"/>
        </w:rPr>
        <w:t>.不符合《政府采购法》第二十二条规定的条件。</w:t>
      </w:r>
    </w:p>
    <w:p>
      <w:pPr>
        <w:pStyle w:val="7"/>
        <w:snapToGrid w:val="0"/>
        <w:spacing w:line="360" w:lineRule="auto"/>
        <w:ind w:firstLine="480"/>
        <w:rPr>
          <w:sz w:val="21"/>
          <w:szCs w:val="21"/>
        </w:rPr>
      </w:pPr>
      <w:r>
        <w:rPr>
          <w:rFonts w:hint="eastAsia"/>
          <w:sz w:val="21"/>
          <w:szCs w:val="21"/>
        </w:rPr>
        <w:t>我单位保证上述声明的事项都是真实的，如有虚假，我单位愿意承担相应的法律责任，并承担因此所造成的一切损失。</w:t>
      </w:r>
    </w:p>
    <w:p>
      <w:pPr>
        <w:pStyle w:val="49"/>
        <w:snapToGrid w:val="0"/>
        <w:spacing w:line="360" w:lineRule="auto"/>
        <w:ind w:firstLine="420" w:firstLineChars="200"/>
        <w:rPr>
          <w:rFonts w:cs="宋体"/>
          <w:sz w:val="21"/>
          <w:szCs w:val="21"/>
        </w:rPr>
      </w:pPr>
      <w:r>
        <w:rPr>
          <w:rFonts w:hint="eastAsia" w:cs="宋体"/>
          <w:sz w:val="21"/>
          <w:szCs w:val="21"/>
        </w:rPr>
        <w:t xml:space="preserve">供应商法定代表人或代理人（签字或盖章）：       </w:t>
      </w:r>
    </w:p>
    <w:p>
      <w:pPr>
        <w:pStyle w:val="49"/>
        <w:snapToGrid w:val="0"/>
        <w:spacing w:line="360" w:lineRule="auto"/>
        <w:ind w:firstLine="420" w:firstLineChars="200"/>
        <w:rPr>
          <w:rFonts w:cs="宋体"/>
          <w:sz w:val="21"/>
          <w:szCs w:val="21"/>
        </w:rPr>
      </w:pPr>
      <w:r>
        <w:rPr>
          <w:rFonts w:hint="eastAsia" w:cs="宋体"/>
          <w:sz w:val="21"/>
          <w:szCs w:val="21"/>
        </w:rPr>
        <w:t xml:space="preserve">供应商名称（公章）：             </w:t>
      </w:r>
    </w:p>
    <w:p>
      <w:pPr>
        <w:pStyle w:val="49"/>
        <w:snapToGrid w:val="0"/>
        <w:spacing w:line="360" w:lineRule="auto"/>
        <w:ind w:firstLine="420" w:firstLineChars="200"/>
        <w:rPr>
          <w:rFonts w:cs="宋体"/>
          <w:sz w:val="21"/>
          <w:szCs w:val="21"/>
        </w:rPr>
      </w:pPr>
      <w:r>
        <w:rPr>
          <w:rFonts w:hint="eastAsia" w:cs="宋体"/>
          <w:sz w:val="21"/>
          <w:szCs w:val="21"/>
        </w:rPr>
        <w:t>日    期：     年    月    日</w:t>
      </w:r>
    </w:p>
    <w:p>
      <w:pPr>
        <w:pageBreakBefore/>
        <w:spacing w:line="360" w:lineRule="auto"/>
        <w:rPr>
          <w:rFonts w:ascii="宋体" w:hAnsi="宋体" w:cs="宋体"/>
          <w:b/>
          <w:sz w:val="28"/>
        </w:rPr>
      </w:pPr>
      <w:r>
        <w:rPr>
          <w:rFonts w:hint="eastAsia" w:ascii="宋体" w:hAnsi="宋体" w:cs="宋体"/>
          <w:b/>
          <w:sz w:val="28"/>
        </w:rPr>
        <w:t>2.磋商响应函</w:t>
      </w:r>
    </w:p>
    <w:p>
      <w:pPr>
        <w:pStyle w:val="49"/>
        <w:adjustRightInd/>
        <w:spacing w:line="360" w:lineRule="auto"/>
        <w:jc w:val="center"/>
        <w:rPr>
          <w:rFonts w:cs="宋体"/>
          <w:b/>
          <w:sz w:val="28"/>
          <w:szCs w:val="28"/>
        </w:rPr>
      </w:pPr>
      <w:r>
        <w:rPr>
          <w:rFonts w:hint="eastAsia" w:cs="宋体"/>
          <w:b/>
          <w:sz w:val="28"/>
          <w:szCs w:val="28"/>
        </w:rPr>
        <w:t>磋商响应函</w:t>
      </w:r>
    </w:p>
    <w:p>
      <w:pPr>
        <w:pStyle w:val="49"/>
        <w:snapToGrid w:val="0"/>
        <w:spacing w:line="360" w:lineRule="auto"/>
        <w:rPr>
          <w:rFonts w:cs="宋体"/>
          <w:sz w:val="21"/>
          <w:szCs w:val="21"/>
        </w:rPr>
      </w:pPr>
      <w:r>
        <w:rPr>
          <w:rFonts w:hint="eastAsia" w:cs="宋体"/>
          <w:sz w:val="21"/>
          <w:szCs w:val="21"/>
        </w:rPr>
        <w:t>致：常州市天宁区住房和城乡建设局、江苏畅誉项目管理有限公司：</w:t>
      </w:r>
    </w:p>
    <w:p>
      <w:pPr>
        <w:pStyle w:val="49"/>
        <w:snapToGrid w:val="0"/>
        <w:spacing w:line="360" w:lineRule="auto"/>
        <w:ind w:firstLine="420"/>
        <w:jc w:val="left"/>
        <w:rPr>
          <w:rFonts w:cs="宋体"/>
          <w:sz w:val="21"/>
          <w:szCs w:val="21"/>
        </w:rPr>
      </w:pPr>
      <w:r>
        <w:rPr>
          <w:rFonts w:hint="eastAsia" w:cs="宋体"/>
          <w:sz w:val="21"/>
          <w:szCs w:val="21"/>
        </w:rPr>
        <w:t>我单位收到贵单位“</w:t>
      </w:r>
      <w:r>
        <w:rPr>
          <w:rFonts w:hint="eastAsia" w:cs="宋体"/>
          <w:sz w:val="21"/>
          <w:szCs w:val="21"/>
          <w:u w:val="single"/>
        </w:rPr>
        <w:t xml:space="preserve">       </w:t>
      </w:r>
      <w:r>
        <w:rPr>
          <w:rFonts w:hint="eastAsia" w:cs="宋体"/>
          <w:sz w:val="21"/>
          <w:szCs w:val="21"/>
        </w:rPr>
        <w:t>号”竞争性磋商文件后，经仔细阅读和研究，我单位决定参加本项目的竞争性磋商活动。为此，我单位郑重声明以下诸点，并负法律责任。</w:t>
      </w:r>
    </w:p>
    <w:p>
      <w:pPr>
        <w:pStyle w:val="49"/>
        <w:snapToGrid w:val="0"/>
        <w:spacing w:line="360" w:lineRule="auto"/>
        <w:ind w:firstLine="420"/>
        <w:jc w:val="left"/>
        <w:rPr>
          <w:rFonts w:cs="宋体"/>
          <w:sz w:val="21"/>
          <w:szCs w:val="21"/>
        </w:rPr>
      </w:pPr>
      <w:r>
        <w:rPr>
          <w:rFonts w:hint="eastAsia" w:cs="宋体"/>
          <w:color w:val="000000"/>
          <w:sz w:val="21"/>
          <w:szCs w:val="21"/>
        </w:rPr>
        <w:t>1.</w:t>
      </w:r>
      <w:r>
        <w:rPr>
          <w:rFonts w:hint="eastAsia" w:cs="宋体"/>
          <w:sz w:val="21"/>
          <w:szCs w:val="21"/>
        </w:rPr>
        <w:t>我单位愿意遵守贵单位有关采购的各项规定，提供竞争性磋商文件中要求的所有资料，并保证完全真实准确，若有虚假和违背，我单位愿意承担由此而产生的一切后果。</w:t>
      </w:r>
    </w:p>
    <w:p>
      <w:pPr>
        <w:pStyle w:val="49"/>
        <w:snapToGrid w:val="0"/>
        <w:spacing w:line="360" w:lineRule="auto"/>
        <w:ind w:firstLine="420"/>
        <w:jc w:val="left"/>
        <w:rPr>
          <w:rFonts w:cs="宋体"/>
          <w:sz w:val="21"/>
          <w:szCs w:val="21"/>
        </w:rPr>
      </w:pPr>
      <w:r>
        <w:rPr>
          <w:rFonts w:hint="eastAsia" w:cs="宋体"/>
          <w:sz w:val="21"/>
          <w:szCs w:val="21"/>
        </w:rPr>
        <w:t>2.我单位承诺财务状况良好，依法缴纳税收和社会保障资金，具备履行合同所必需的设备和专业技术能力，参加采购活动前3年内在经营活动中没有重大违法记录。</w:t>
      </w:r>
    </w:p>
    <w:p>
      <w:pPr>
        <w:pStyle w:val="49"/>
        <w:snapToGrid w:val="0"/>
        <w:spacing w:line="360" w:lineRule="auto"/>
        <w:ind w:firstLine="420"/>
        <w:jc w:val="left"/>
        <w:rPr>
          <w:rFonts w:cs="宋体"/>
          <w:sz w:val="21"/>
          <w:szCs w:val="21"/>
        </w:rPr>
      </w:pPr>
      <w:r>
        <w:rPr>
          <w:rFonts w:hint="eastAsia" w:cs="宋体"/>
          <w:sz w:val="21"/>
          <w:szCs w:val="21"/>
        </w:rPr>
        <w:t>3.我单位承诺该磋商响应文件在磋商开始后的全过程中保持有效，不作任何更改和变动。并同意按竞争性磋商文件中的规定，本磋商响应文件的有效期限为磋商开始后</w:t>
      </w:r>
      <w:r>
        <w:rPr>
          <w:rFonts w:hint="eastAsia" w:cs="宋体"/>
          <w:sz w:val="21"/>
          <w:szCs w:val="21"/>
          <w:u w:val="single"/>
        </w:rPr>
        <w:t>60</w:t>
      </w:r>
      <w:r>
        <w:rPr>
          <w:rFonts w:hint="eastAsia" w:cs="宋体"/>
          <w:sz w:val="21"/>
          <w:szCs w:val="21"/>
        </w:rPr>
        <w:t>天。</w:t>
      </w:r>
    </w:p>
    <w:p>
      <w:pPr>
        <w:pStyle w:val="49"/>
        <w:snapToGrid w:val="0"/>
        <w:spacing w:line="360" w:lineRule="auto"/>
        <w:ind w:firstLine="420"/>
        <w:jc w:val="left"/>
        <w:rPr>
          <w:rFonts w:cs="宋体"/>
          <w:sz w:val="21"/>
          <w:szCs w:val="21"/>
        </w:rPr>
      </w:pPr>
      <w:r>
        <w:rPr>
          <w:rFonts w:hint="eastAsia" w:cs="宋体"/>
          <w:sz w:val="21"/>
          <w:szCs w:val="21"/>
        </w:rPr>
        <w:t>4.我单位愿意按竞争性磋商文件规定的各项要求，向采购人提供所需货物与服务。磋商报价包括竞争性磋商文件所确定的采购范围相应服务的提供、人员（包括工资和补贴）、办公场所及设施、保险、劳保、管理、各种税费、利润、税金、政策性文件规定及合同包含的所有风险、责任等各项应有费用，以及为完成该项服务项目所涉及到的一切相关费用，采购人不再支付其他任何费用。</w:t>
      </w:r>
    </w:p>
    <w:p>
      <w:pPr>
        <w:pStyle w:val="49"/>
        <w:snapToGrid w:val="0"/>
        <w:spacing w:line="360" w:lineRule="auto"/>
        <w:ind w:firstLine="420"/>
        <w:jc w:val="left"/>
        <w:rPr>
          <w:rFonts w:cs="宋体"/>
          <w:sz w:val="21"/>
          <w:szCs w:val="21"/>
        </w:rPr>
      </w:pPr>
      <w:r>
        <w:rPr>
          <w:rFonts w:hint="eastAsia" w:cs="宋体"/>
          <w:sz w:val="21"/>
          <w:szCs w:val="21"/>
        </w:rPr>
        <w:t>5.我单位认为贵单位有权决定成交供应商，还认为贵单位有权接受或拒绝所有的供应商。</w:t>
      </w:r>
    </w:p>
    <w:p>
      <w:pPr>
        <w:pStyle w:val="49"/>
        <w:snapToGrid w:val="0"/>
        <w:spacing w:line="360" w:lineRule="auto"/>
        <w:ind w:firstLine="420"/>
        <w:jc w:val="left"/>
        <w:rPr>
          <w:rFonts w:cs="宋体"/>
          <w:sz w:val="21"/>
          <w:szCs w:val="21"/>
        </w:rPr>
      </w:pPr>
      <w:r>
        <w:rPr>
          <w:rFonts w:hint="eastAsia" w:cs="宋体"/>
          <w:sz w:val="21"/>
          <w:szCs w:val="21"/>
        </w:rPr>
        <w:t>6.我单位愿意遵守竞争性磋商文件中所列的收费标准，按竞争性磋商文件的规定，若我单位成交，我单位愿意在签订合同前按竞争性磋商文件的规定支付成交服务费。</w:t>
      </w:r>
    </w:p>
    <w:p>
      <w:pPr>
        <w:pStyle w:val="49"/>
        <w:snapToGrid w:val="0"/>
        <w:spacing w:line="360" w:lineRule="auto"/>
        <w:ind w:firstLine="420"/>
        <w:jc w:val="left"/>
        <w:rPr>
          <w:rFonts w:cs="宋体"/>
          <w:sz w:val="21"/>
          <w:szCs w:val="21"/>
        </w:rPr>
      </w:pPr>
      <w:r>
        <w:rPr>
          <w:rFonts w:hint="eastAsia" w:cs="宋体"/>
          <w:sz w:val="21"/>
          <w:szCs w:val="21"/>
        </w:rPr>
        <w:t>7.如果我单位的磋商响应文件被接受，愿按《中华人民共和国民法典》履行自己的全部责任，同时严格履行竞争性磋商文件中规定的每一项要求，按期、按质、按量履行合同的义务。</w:t>
      </w:r>
    </w:p>
    <w:p>
      <w:pPr>
        <w:pStyle w:val="49"/>
        <w:spacing w:line="360" w:lineRule="auto"/>
        <w:ind w:firstLine="405"/>
        <w:rPr>
          <w:rFonts w:cs="宋体"/>
          <w:sz w:val="21"/>
          <w:szCs w:val="21"/>
        </w:rPr>
      </w:pPr>
      <w:r>
        <w:rPr>
          <w:rFonts w:hint="eastAsia" w:cs="宋体"/>
          <w:sz w:val="21"/>
          <w:szCs w:val="21"/>
        </w:rPr>
        <w:t>8.与本次磋商有关的正式通讯地址为：</w:t>
      </w:r>
    </w:p>
    <w:p>
      <w:pPr>
        <w:pStyle w:val="49"/>
        <w:spacing w:line="360" w:lineRule="auto"/>
        <w:jc w:val="left"/>
        <w:rPr>
          <w:rFonts w:cs="宋体"/>
          <w:sz w:val="21"/>
          <w:szCs w:val="21"/>
        </w:rPr>
      </w:pPr>
    </w:p>
    <w:p>
      <w:pPr>
        <w:pStyle w:val="49"/>
        <w:spacing w:line="360" w:lineRule="auto"/>
        <w:jc w:val="left"/>
        <w:rPr>
          <w:rFonts w:cs="宋体"/>
          <w:sz w:val="21"/>
          <w:szCs w:val="21"/>
        </w:rPr>
      </w:pPr>
      <w:r>
        <w:rPr>
          <w:rFonts w:hint="eastAsia" w:cs="宋体"/>
          <w:sz w:val="21"/>
          <w:szCs w:val="21"/>
        </w:rPr>
        <w:t xml:space="preserve">地   址：                  </w:t>
      </w:r>
    </w:p>
    <w:p>
      <w:pPr>
        <w:pStyle w:val="49"/>
        <w:spacing w:line="360" w:lineRule="auto"/>
        <w:rPr>
          <w:rFonts w:cs="宋体"/>
          <w:sz w:val="21"/>
          <w:szCs w:val="21"/>
        </w:rPr>
      </w:pPr>
      <w:r>
        <w:rPr>
          <w:rFonts w:hint="eastAsia" w:cs="宋体"/>
          <w:sz w:val="21"/>
          <w:szCs w:val="21"/>
        </w:rPr>
        <w:t xml:space="preserve">电   话：                  </w:t>
      </w:r>
    </w:p>
    <w:p>
      <w:pPr>
        <w:pStyle w:val="49"/>
        <w:spacing w:line="360" w:lineRule="auto"/>
        <w:rPr>
          <w:rFonts w:cs="宋体"/>
          <w:sz w:val="21"/>
          <w:szCs w:val="21"/>
        </w:rPr>
      </w:pPr>
      <w:r>
        <w:rPr>
          <w:rFonts w:hint="eastAsia" w:cs="宋体"/>
          <w:sz w:val="21"/>
          <w:szCs w:val="21"/>
        </w:rPr>
        <w:t xml:space="preserve">传   真：                  </w:t>
      </w:r>
    </w:p>
    <w:p>
      <w:pPr>
        <w:pStyle w:val="49"/>
        <w:spacing w:line="360" w:lineRule="auto"/>
        <w:rPr>
          <w:rFonts w:cs="宋体"/>
          <w:sz w:val="21"/>
          <w:szCs w:val="21"/>
        </w:rPr>
      </w:pPr>
      <w:r>
        <w:rPr>
          <w:rFonts w:hint="eastAsia" w:cs="宋体"/>
          <w:sz w:val="21"/>
          <w:szCs w:val="21"/>
        </w:rPr>
        <w:t xml:space="preserve">供应商法定代表人或代理人（签字或盖章）：       </w:t>
      </w:r>
    </w:p>
    <w:p>
      <w:pPr>
        <w:pStyle w:val="49"/>
        <w:spacing w:line="360" w:lineRule="auto"/>
        <w:rPr>
          <w:rFonts w:cs="宋体"/>
          <w:sz w:val="21"/>
          <w:szCs w:val="21"/>
        </w:rPr>
      </w:pPr>
      <w:r>
        <w:rPr>
          <w:rFonts w:hint="eastAsia" w:cs="宋体"/>
          <w:sz w:val="21"/>
          <w:szCs w:val="21"/>
        </w:rPr>
        <w:t xml:space="preserve">供应商名称（公章）：             </w:t>
      </w:r>
    </w:p>
    <w:p>
      <w:pPr>
        <w:pStyle w:val="49"/>
        <w:spacing w:line="360" w:lineRule="auto"/>
        <w:rPr>
          <w:rFonts w:cs="宋体"/>
          <w:sz w:val="21"/>
          <w:szCs w:val="21"/>
        </w:rPr>
      </w:pPr>
      <w:r>
        <w:rPr>
          <w:rFonts w:hint="eastAsia" w:cs="宋体"/>
          <w:sz w:val="21"/>
          <w:szCs w:val="21"/>
        </w:rPr>
        <w:t>日    期：     年    月    日.</w:t>
      </w:r>
    </w:p>
    <w:p>
      <w:pPr>
        <w:pStyle w:val="19"/>
        <w:spacing w:line="360" w:lineRule="auto"/>
        <w:rPr>
          <w:rFonts w:ascii="宋体" w:hAnsi="宋体" w:cs="宋体"/>
        </w:rPr>
      </w:pPr>
    </w:p>
    <w:p>
      <w:pPr>
        <w:pageBreakBefore/>
        <w:spacing w:line="360" w:lineRule="auto"/>
        <w:rPr>
          <w:rFonts w:ascii="宋体" w:hAnsi="宋体" w:cs="宋体"/>
          <w:b/>
          <w:sz w:val="28"/>
        </w:rPr>
      </w:pPr>
      <w:r>
        <w:rPr>
          <w:rFonts w:hint="eastAsia" w:ascii="宋体" w:hAnsi="宋体" w:cs="宋体"/>
          <w:b/>
          <w:sz w:val="28"/>
        </w:rPr>
        <w:t>3.法定代表人资格证明书</w:t>
      </w:r>
    </w:p>
    <w:p>
      <w:pPr>
        <w:spacing w:line="360" w:lineRule="auto"/>
        <w:rPr>
          <w:rFonts w:ascii="宋体" w:hAnsi="宋体" w:cs="宋体"/>
        </w:rPr>
      </w:pPr>
    </w:p>
    <w:p>
      <w:pPr>
        <w:spacing w:line="360" w:lineRule="auto"/>
        <w:jc w:val="center"/>
        <w:rPr>
          <w:rFonts w:ascii="宋体" w:hAnsi="宋体" w:cs="宋体"/>
          <w:b/>
          <w:sz w:val="32"/>
          <w:szCs w:val="32"/>
        </w:rPr>
      </w:pPr>
      <w:r>
        <w:rPr>
          <w:rFonts w:hint="eastAsia" w:ascii="宋体" w:hAnsi="宋体" w:cs="宋体"/>
          <w:b/>
          <w:sz w:val="28"/>
          <w:szCs w:val="28"/>
        </w:rPr>
        <w:t>法定代表人资格证明书</w:t>
      </w:r>
    </w:p>
    <w:p>
      <w:pPr>
        <w:spacing w:line="360" w:lineRule="auto"/>
        <w:rPr>
          <w:rFonts w:ascii="宋体" w:hAnsi="宋体" w:cs="宋体"/>
          <w:szCs w:val="21"/>
        </w:rPr>
      </w:pPr>
      <w:r>
        <w:rPr>
          <w:rFonts w:hint="eastAsia" w:ascii="宋体" w:hAnsi="宋体" w:cs="宋体"/>
          <w:szCs w:val="21"/>
        </w:rPr>
        <w:t>供应商名称:</w:t>
      </w:r>
    </w:p>
    <w:p>
      <w:pPr>
        <w:spacing w:line="360" w:lineRule="auto"/>
        <w:rPr>
          <w:rFonts w:ascii="宋体" w:hAnsi="宋体" w:cs="宋体"/>
          <w:szCs w:val="21"/>
        </w:rPr>
      </w:pPr>
      <w:r>
        <w:rPr>
          <w:rFonts w:hint="eastAsia" w:ascii="宋体" w:hAnsi="宋体" w:cs="宋体"/>
          <w:szCs w:val="21"/>
        </w:rPr>
        <w:t>地址:</w:t>
      </w:r>
    </w:p>
    <w:p>
      <w:pPr>
        <w:spacing w:line="360" w:lineRule="auto"/>
        <w:rPr>
          <w:rFonts w:ascii="宋体" w:hAnsi="宋体" w:cs="宋体"/>
          <w:szCs w:val="21"/>
        </w:rPr>
      </w:pPr>
      <w:r>
        <w:rPr>
          <w:rFonts w:hint="eastAsia" w:ascii="宋体" w:hAnsi="宋体" w:cs="宋体"/>
          <w:szCs w:val="21"/>
        </w:rPr>
        <w:t>姓名:            性别:        年龄:        职务:</w:t>
      </w:r>
    </w:p>
    <w:p>
      <w:pPr>
        <w:spacing w:line="360" w:lineRule="auto"/>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 xml:space="preserve">的法定代表人。为实施 </w:t>
      </w:r>
      <w:r>
        <w:rPr>
          <w:rFonts w:hint="eastAsia" w:ascii="宋体" w:hAnsi="宋体" w:cs="宋体"/>
          <w:szCs w:val="21"/>
          <w:u w:val="single"/>
        </w:rPr>
        <w:t xml:space="preserve">           （      号） </w:t>
      </w:r>
      <w:r>
        <w:rPr>
          <w:rFonts w:hint="eastAsia" w:ascii="宋体" w:hAnsi="宋体" w:cs="宋体"/>
          <w:szCs w:val="21"/>
        </w:rPr>
        <w:t>的工作，签署上述项目的磋商响应文件、进行合同谈判、签署合同和处理与之有关的一切事务。</w:t>
      </w:r>
    </w:p>
    <w:p>
      <w:pPr>
        <w:spacing w:line="360" w:lineRule="auto"/>
        <w:rPr>
          <w:rFonts w:ascii="宋体" w:hAnsi="宋体" w:cs="宋体"/>
          <w:szCs w:val="21"/>
        </w:rPr>
      </w:pPr>
      <w:r>
        <w:rPr>
          <w:rFonts w:hint="eastAsia" w:ascii="宋体" w:hAnsi="宋体" w:cs="宋体"/>
          <w:szCs w:val="21"/>
        </w:rPr>
        <w:t>特此证明。</w:t>
      </w:r>
    </w:p>
    <w:p>
      <w:pPr>
        <w:spacing w:line="360" w:lineRule="auto"/>
        <w:rPr>
          <w:rFonts w:ascii="宋体" w:hAnsi="宋体" w:cs="宋体"/>
          <w:szCs w:val="21"/>
        </w:rPr>
      </w:pP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                 供应商：（公章）</w:t>
      </w:r>
    </w:p>
    <w:p>
      <w:pPr>
        <w:spacing w:line="360" w:lineRule="auto"/>
        <w:rPr>
          <w:rFonts w:ascii="宋体" w:hAnsi="宋体" w:cs="宋体"/>
          <w:szCs w:val="21"/>
        </w:rPr>
      </w:pPr>
      <w:r>
        <w:rPr>
          <w:rFonts w:hint="eastAsia" w:ascii="宋体" w:hAnsi="宋体" w:cs="宋体"/>
          <w:szCs w:val="21"/>
        </w:rPr>
        <w:t>                     法定代表人签字或盖章：</w:t>
      </w:r>
    </w:p>
    <w:p>
      <w:pPr>
        <w:spacing w:line="360" w:lineRule="auto"/>
        <w:ind w:firstLine="3570" w:firstLineChars="1700"/>
        <w:rPr>
          <w:rFonts w:ascii="宋体" w:hAnsi="宋体" w:cs="宋体"/>
          <w:szCs w:val="21"/>
        </w:rPr>
      </w:pPr>
      <w:r>
        <w:rPr>
          <w:rFonts w:hint="eastAsia" w:ascii="宋体" w:hAnsi="宋体" w:cs="宋体"/>
          <w:szCs w:val="21"/>
        </w:rPr>
        <w:t>日期：    年    月    日</w:t>
      </w:r>
    </w:p>
    <w:p>
      <w:pPr>
        <w:tabs>
          <w:tab w:val="left" w:pos="6045"/>
        </w:tabs>
        <w:snapToGrid w:val="0"/>
        <w:spacing w:line="360" w:lineRule="auto"/>
        <w:ind w:left="210" w:hanging="210" w:hangingChars="100"/>
        <w:rPr>
          <w:rFonts w:ascii="宋体" w:hAnsi="宋体" w:cs="宋体"/>
          <w:szCs w:val="21"/>
        </w:rPr>
      </w:pPr>
    </w:p>
    <w:p>
      <w:pPr>
        <w:snapToGrid w:val="0"/>
        <w:spacing w:line="360" w:lineRule="auto"/>
        <w:rPr>
          <w:rFonts w:ascii="宋体" w:hAnsi="宋体" w:cs="宋体"/>
          <w:szCs w:val="21"/>
        </w:rPr>
      </w:pPr>
      <w:r>
        <w:rPr>
          <w:rFonts w:hint="eastAsia" w:ascii="宋体" w:hAnsi="宋体" w:cs="宋体"/>
          <w:szCs w:val="21"/>
        </w:rPr>
        <w:t> </w:t>
      </w:r>
    </w:p>
    <w:p>
      <w:pPr>
        <w:snapToGrid w:val="0"/>
        <w:spacing w:line="360" w:lineRule="auto"/>
        <w:rPr>
          <w:rFonts w:ascii="宋体" w:hAnsi="宋体" w:cs="宋体"/>
          <w:szCs w:val="21"/>
        </w:rPr>
      </w:pPr>
    </w:p>
    <w:p>
      <w:pPr>
        <w:snapToGrid w:val="0"/>
        <w:spacing w:line="360" w:lineRule="auto"/>
        <w:rPr>
          <w:rFonts w:ascii="宋体" w:hAnsi="宋体" w:cs="宋体"/>
          <w:b/>
          <w:szCs w:val="21"/>
        </w:rPr>
      </w:pPr>
    </w:p>
    <w:p>
      <w:pPr>
        <w:spacing w:line="360" w:lineRule="auto"/>
        <w:rPr>
          <w:rFonts w:ascii="宋体" w:hAnsi="宋体" w:cs="宋体"/>
          <w:szCs w:val="21"/>
        </w:rPr>
      </w:pPr>
      <w:r>
        <w:rPr>
          <w:rFonts w:hint="eastAsia" w:ascii="宋体" w:hAnsi="宋体" w:cs="宋体"/>
          <w:szCs w:val="21"/>
        </w:rPr>
        <w:t>法定代表人身份证</w:t>
      </w:r>
    </w:p>
    <w:p>
      <w:pPr>
        <w:spacing w:line="360" w:lineRule="auto"/>
        <w:rPr>
          <w:rFonts w:ascii="宋体" w:hAnsi="宋体" w:cs="宋体"/>
          <w:szCs w:val="21"/>
        </w:rPr>
      </w:pPr>
      <w:r>
        <w:rPr>
          <w:rFonts w:hint="eastAsia" w:ascii="宋体" w:hAnsi="宋体" w:cs="宋体"/>
          <w:szCs w:val="21"/>
        </w:rPr>
        <w:t>（双面复印件）粘贴处</w:t>
      </w:r>
    </w:p>
    <w:p>
      <w:pPr>
        <w:snapToGrid w:val="0"/>
        <w:spacing w:line="360" w:lineRule="auto"/>
        <w:rPr>
          <w:rFonts w:ascii="宋体" w:hAnsi="宋体" w:cs="宋体"/>
          <w:b/>
          <w:sz w:val="24"/>
          <w:szCs w:val="28"/>
        </w:rPr>
      </w:pPr>
    </w:p>
    <w:p>
      <w:pPr>
        <w:snapToGrid w:val="0"/>
        <w:spacing w:line="360" w:lineRule="auto"/>
        <w:rPr>
          <w:rFonts w:ascii="宋体" w:hAnsi="宋体" w:cs="宋体"/>
          <w:b/>
          <w:sz w:val="24"/>
          <w:szCs w:val="28"/>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spacing w:line="360" w:lineRule="auto"/>
        <w:rPr>
          <w:rFonts w:ascii="宋体" w:hAnsi="宋体" w:cs="宋体"/>
        </w:rPr>
      </w:pPr>
    </w:p>
    <w:p>
      <w:pPr>
        <w:pageBreakBefore/>
        <w:spacing w:line="360" w:lineRule="auto"/>
        <w:rPr>
          <w:rFonts w:ascii="宋体" w:hAnsi="宋体" w:cs="宋体"/>
          <w:b/>
          <w:sz w:val="28"/>
        </w:rPr>
      </w:pPr>
      <w:r>
        <w:rPr>
          <w:rFonts w:hint="eastAsia" w:ascii="宋体" w:hAnsi="宋体" w:cs="宋体"/>
          <w:b/>
          <w:sz w:val="28"/>
        </w:rPr>
        <w:t>4.授权委托书</w:t>
      </w:r>
    </w:p>
    <w:p>
      <w:pPr>
        <w:pStyle w:val="49"/>
        <w:adjustRightInd/>
        <w:spacing w:line="360" w:lineRule="auto"/>
        <w:jc w:val="center"/>
        <w:rPr>
          <w:rFonts w:cs="宋体"/>
          <w:sz w:val="24"/>
          <w:szCs w:val="24"/>
        </w:rPr>
      </w:pPr>
      <w:r>
        <w:rPr>
          <w:rFonts w:hint="eastAsia" w:cs="宋体"/>
          <w:b/>
          <w:sz w:val="28"/>
          <w:szCs w:val="28"/>
        </w:rPr>
        <w:t>授权委托书</w:t>
      </w:r>
    </w:p>
    <w:p>
      <w:pPr>
        <w:adjustRightInd w:val="0"/>
        <w:snapToGrid w:val="0"/>
        <w:spacing w:line="360" w:lineRule="auto"/>
        <w:ind w:firstLine="516" w:firstLineChars="215"/>
        <w:rPr>
          <w:rFonts w:ascii="宋体" w:hAnsi="宋体" w:cs="宋体"/>
          <w:sz w:val="24"/>
          <w:szCs w:val="24"/>
        </w:rPr>
      </w:pPr>
      <w:r>
        <w:rPr>
          <w:rFonts w:hint="eastAsia" w:ascii="宋体" w:hAnsi="宋体" w:cs="宋体"/>
          <w:sz w:val="24"/>
          <w:szCs w:val="24"/>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pPr>
        <w:adjustRightInd w:val="0"/>
        <w:snapToGrid w:val="0"/>
        <w:spacing w:line="360" w:lineRule="auto"/>
        <w:ind w:firstLine="397"/>
        <w:rPr>
          <w:rFonts w:ascii="宋体" w:hAnsi="宋体" w:cs="宋体"/>
          <w:sz w:val="24"/>
          <w:szCs w:val="24"/>
        </w:rPr>
      </w:pPr>
      <w:r>
        <w:rPr>
          <w:rFonts w:hint="eastAsia" w:ascii="宋体" w:hAnsi="宋体" w:cs="宋体"/>
          <w:sz w:val="24"/>
          <w:szCs w:val="24"/>
        </w:rPr>
        <w:t>本授权书于__________年_______月________日签字或盖章生效，特此声明。</w:t>
      </w:r>
    </w:p>
    <w:p>
      <w:pPr>
        <w:adjustRightInd w:val="0"/>
        <w:snapToGrid w:val="0"/>
        <w:spacing w:line="360" w:lineRule="auto"/>
        <w:rPr>
          <w:rFonts w:ascii="宋体" w:hAnsi="宋体" w:cs="宋体"/>
          <w:sz w:val="24"/>
          <w:szCs w:val="24"/>
        </w:rPr>
      </w:pPr>
    </w:p>
    <w:p>
      <w:pPr>
        <w:adjustRightInd w:val="0"/>
        <w:snapToGrid w:val="0"/>
        <w:spacing w:line="360" w:lineRule="auto"/>
        <w:rPr>
          <w:rFonts w:ascii="宋体" w:hAnsi="宋体" w:cs="宋体"/>
          <w:szCs w:val="21"/>
        </w:rPr>
      </w:pPr>
      <w:r>
        <w:rPr>
          <w:rFonts w:hint="eastAsia" w:ascii="宋体" w:hAnsi="宋体" w:cs="宋体"/>
          <w:szCs w:val="21"/>
        </w:rPr>
        <w:t>法定代表人签字或盖章：                       日期：</w:t>
      </w:r>
    </w:p>
    <w:p>
      <w:pPr>
        <w:spacing w:line="360" w:lineRule="auto"/>
        <w:rPr>
          <w:rFonts w:ascii="宋体" w:hAnsi="宋体" w:cs="宋体"/>
          <w:szCs w:val="21"/>
        </w:rPr>
      </w:pPr>
      <w:r>
        <w:rPr>
          <w:rFonts w:hint="eastAsia" w:ascii="宋体" w:hAnsi="宋体" w:cs="宋体"/>
          <w:szCs w:val="21"/>
        </w:rPr>
        <w:t>职务：                                       联系电话：</w:t>
      </w:r>
    </w:p>
    <w:p>
      <w:pPr>
        <w:spacing w:line="360" w:lineRule="auto"/>
        <w:rPr>
          <w:rFonts w:ascii="宋体" w:hAnsi="宋体" w:cs="宋体"/>
          <w:szCs w:val="21"/>
        </w:rPr>
      </w:pPr>
      <w:r>
        <w:rPr>
          <w:rFonts w:hint="eastAsia" w:ascii="宋体" w:hAnsi="宋体" w:cs="宋体"/>
          <w:szCs w:val="21"/>
        </w:rPr>
        <w:t>单位名称：                                   地址：</w:t>
      </w:r>
    </w:p>
    <w:p>
      <w:pPr>
        <w:spacing w:line="360" w:lineRule="auto"/>
        <w:rPr>
          <w:rFonts w:ascii="宋体" w:hAnsi="宋体" w:cs="宋体"/>
          <w:szCs w:val="21"/>
        </w:rPr>
      </w:pPr>
      <w:r>
        <w:rPr>
          <w:rFonts w:hint="eastAsia" w:ascii="宋体" w:hAnsi="宋体" w:cs="宋体"/>
          <w:szCs w:val="21"/>
        </w:rPr>
        <w:t>身份证号码：</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委托代理人（被授权人）签字或盖章：           日期：</w:t>
      </w:r>
    </w:p>
    <w:p>
      <w:pPr>
        <w:spacing w:line="360" w:lineRule="auto"/>
        <w:rPr>
          <w:rFonts w:ascii="宋体" w:hAnsi="宋体" w:cs="宋体"/>
          <w:szCs w:val="21"/>
        </w:rPr>
      </w:pPr>
      <w:r>
        <w:rPr>
          <w:rFonts w:hint="eastAsia" w:ascii="宋体" w:hAnsi="宋体" w:cs="宋体"/>
          <w:szCs w:val="21"/>
        </w:rPr>
        <w:t>职务：                                       联系电话：</w:t>
      </w:r>
    </w:p>
    <w:p>
      <w:pPr>
        <w:spacing w:line="360" w:lineRule="auto"/>
        <w:rPr>
          <w:rFonts w:ascii="宋体" w:hAnsi="宋体" w:cs="宋体"/>
          <w:szCs w:val="21"/>
        </w:rPr>
      </w:pPr>
      <w:r>
        <w:rPr>
          <w:rFonts w:hint="eastAsia" w:ascii="宋体" w:hAnsi="宋体" w:cs="宋体"/>
          <w:szCs w:val="21"/>
        </w:rPr>
        <w:t>单位名称：                                   地址：</w:t>
      </w:r>
    </w:p>
    <w:p>
      <w:pPr>
        <w:spacing w:line="360" w:lineRule="auto"/>
        <w:rPr>
          <w:rFonts w:ascii="宋体" w:hAnsi="宋体" w:cs="宋体"/>
          <w:szCs w:val="21"/>
        </w:rPr>
      </w:pPr>
      <w:r>
        <w:rPr>
          <w:rFonts w:hint="eastAsia" w:ascii="宋体" w:hAnsi="宋体" w:cs="宋体"/>
          <w:szCs w:val="21"/>
        </w:rPr>
        <w:t>身份证号码：</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 xml:space="preserve">供应商公章： </w:t>
      </w:r>
    </w:p>
    <w:p>
      <w:pPr>
        <w:spacing w:line="360" w:lineRule="auto"/>
        <w:rPr>
          <w:rFonts w:ascii="宋体" w:hAnsi="宋体" w:cs="宋体"/>
          <w:szCs w:val="21"/>
        </w:rPr>
      </w:pPr>
      <w:r>
        <w:rPr>
          <w:rFonts w:hint="eastAsia" w:ascii="宋体" w:hAnsi="宋体" w:cs="宋体"/>
          <w:szCs w:val="21"/>
        </w:rPr>
        <w:t>地址：                                       电话：</w:t>
      </w:r>
    </w:p>
    <w:p>
      <w:pPr>
        <w:spacing w:line="360" w:lineRule="auto"/>
        <w:rPr>
          <w:rFonts w:ascii="宋体" w:hAnsi="宋体" w:cs="宋体"/>
          <w:szCs w:val="21"/>
        </w:rPr>
      </w:pPr>
      <w:r>
        <w:rPr>
          <w:rFonts w:hint="eastAsia" w:ascii="宋体" w:hAnsi="宋体" w:cs="宋体"/>
          <w:szCs w:val="21"/>
        </w:rPr>
        <w:t>传真：                                       邮编：</w:t>
      </w:r>
    </w:p>
    <w:p>
      <w:pPr>
        <w:spacing w:line="360" w:lineRule="auto"/>
        <w:rPr>
          <w:rFonts w:ascii="宋体" w:hAnsi="宋体" w:cs="宋体"/>
          <w:szCs w:val="21"/>
        </w:rPr>
      </w:pPr>
      <w:r>
        <w:rPr>
          <w:rFonts w:hint="eastAsia" w:ascii="宋体" w:hAnsi="宋体" w:cs="宋体"/>
          <w:szCs w:val="21"/>
        </w:rPr>
        <w:t>开户行：</w:t>
      </w:r>
    </w:p>
    <w:p>
      <w:pPr>
        <w:spacing w:line="360" w:lineRule="auto"/>
        <w:rPr>
          <w:rFonts w:ascii="宋体" w:hAnsi="宋体" w:cs="宋体"/>
          <w:szCs w:val="21"/>
        </w:rPr>
      </w:pPr>
      <w:r>
        <w:rPr>
          <w:rFonts w:hint="eastAsia" w:ascii="宋体" w:hAnsi="宋体" w:cs="宋体"/>
          <w:szCs w:val="21"/>
        </w:rPr>
        <w:t>账号：</w:t>
      </w: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代理人身份证</w:t>
      </w:r>
    </w:p>
    <w:p>
      <w:pPr>
        <w:spacing w:line="360" w:lineRule="auto"/>
        <w:rPr>
          <w:rFonts w:ascii="宋体" w:hAnsi="宋体" w:cs="宋体"/>
          <w:sz w:val="24"/>
          <w:szCs w:val="24"/>
        </w:rPr>
      </w:pPr>
      <w:r>
        <w:rPr>
          <w:rFonts w:hint="eastAsia" w:ascii="宋体" w:hAnsi="宋体" w:cs="宋体"/>
          <w:szCs w:val="21"/>
        </w:rPr>
        <w:t>（双面复印件）粘贴处</w:t>
      </w:r>
    </w:p>
    <w:p>
      <w:pPr>
        <w:spacing w:line="360" w:lineRule="auto"/>
        <w:rPr>
          <w:rFonts w:ascii="宋体" w:hAnsi="宋体" w:cs="宋体"/>
          <w:szCs w:val="21"/>
        </w:rPr>
      </w:pPr>
      <w:r>
        <w:rPr>
          <w:rFonts w:hint="eastAsia" w:ascii="宋体" w:hAnsi="宋体" w:cs="宋体"/>
          <w:szCs w:val="21"/>
        </w:rPr>
        <w:t>备注：</w:t>
      </w:r>
    </w:p>
    <w:p>
      <w:pPr>
        <w:spacing w:line="360" w:lineRule="auto"/>
        <w:rPr>
          <w:rFonts w:ascii="宋体" w:hAnsi="宋体" w:cs="宋体"/>
          <w:szCs w:val="21"/>
        </w:rPr>
      </w:pPr>
      <w:r>
        <w:rPr>
          <w:rFonts w:hint="eastAsia" w:ascii="宋体" w:hAnsi="宋体" w:cs="宋体"/>
          <w:szCs w:val="21"/>
        </w:rPr>
        <w:t>1.法定代表人参加磋商时，需携带本人身份证原件。</w:t>
      </w:r>
    </w:p>
    <w:p>
      <w:pPr>
        <w:spacing w:line="360" w:lineRule="auto"/>
        <w:rPr>
          <w:rFonts w:ascii="宋体" w:hAnsi="宋体" w:cs="宋体"/>
          <w:szCs w:val="21"/>
        </w:rPr>
      </w:pPr>
      <w:r>
        <w:rPr>
          <w:rFonts w:hint="eastAsia" w:ascii="宋体" w:hAnsi="宋体" w:cs="宋体"/>
          <w:szCs w:val="21"/>
        </w:rPr>
        <w:t>2.委托代理人参加磋商时，需携带授权委托书和本人身份证原件。</w:t>
      </w:r>
    </w:p>
    <w:p>
      <w:pPr>
        <w:pageBreakBefore/>
        <w:spacing w:line="360" w:lineRule="auto"/>
        <w:rPr>
          <w:rFonts w:ascii="宋体" w:hAnsi="宋体" w:cs="宋体"/>
          <w:b/>
          <w:sz w:val="28"/>
          <w:szCs w:val="22"/>
        </w:rPr>
      </w:pPr>
      <w:r>
        <w:rPr>
          <w:rFonts w:hint="eastAsia" w:ascii="宋体" w:hAnsi="宋体" w:cs="宋体"/>
          <w:b/>
          <w:sz w:val="28"/>
          <w:szCs w:val="22"/>
        </w:rPr>
        <w:t>5. 政府采购供应商信用承诺书</w:t>
      </w:r>
    </w:p>
    <w:p>
      <w:pPr>
        <w:spacing w:line="360" w:lineRule="auto"/>
        <w:jc w:val="center"/>
        <w:rPr>
          <w:rFonts w:ascii="宋体" w:hAnsi="宋体" w:cs="宋体"/>
          <w:b/>
          <w:color w:val="000000"/>
          <w:sz w:val="28"/>
          <w:szCs w:val="28"/>
        </w:rPr>
      </w:pPr>
      <w:r>
        <w:rPr>
          <w:rFonts w:hint="eastAsia" w:ascii="宋体" w:hAnsi="宋体" w:cs="宋体"/>
          <w:b/>
          <w:color w:val="000000"/>
          <w:sz w:val="28"/>
          <w:szCs w:val="28"/>
        </w:rPr>
        <w:t>政府采购供应商信用承诺书</w:t>
      </w:r>
    </w:p>
    <w:p>
      <w:pPr>
        <w:spacing w:line="360" w:lineRule="auto"/>
        <w:ind w:firstLine="425"/>
        <w:rPr>
          <w:rFonts w:ascii="宋体" w:hAnsi="宋体" w:cs="宋体"/>
          <w:snapToGrid w:val="0"/>
          <w:kern w:val="0"/>
        </w:rPr>
      </w:pPr>
      <w:r>
        <w:rPr>
          <w:rFonts w:hint="eastAsia" w:ascii="宋体" w:hAnsi="宋体" w:cs="宋体"/>
          <w:snapToGrid w:val="0"/>
          <w:kern w:val="0"/>
        </w:rPr>
        <w:t>为维护公开、公平、公正的政府采购市场秩序，树立诚实守信的供应商形象，本单位在参与政府采购活动中,自愿作出以下承诺：</w:t>
      </w:r>
    </w:p>
    <w:p>
      <w:pPr>
        <w:spacing w:line="360" w:lineRule="auto"/>
        <w:ind w:firstLine="425"/>
        <w:rPr>
          <w:rFonts w:ascii="宋体" w:hAnsi="宋体" w:cs="宋体"/>
          <w:snapToGrid w:val="0"/>
          <w:kern w:val="0"/>
        </w:rPr>
      </w:pPr>
      <w:r>
        <w:rPr>
          <w:rFonts w:hint="eastAsia" w:ascii="宋体" w:hAnsi="宋体" w:cs="宋体"/>
          <w:snapToGrid w:val="0"/>
          <w:kern w:val="0"/>
        </w:rPr>
        <w:t>一、严格遵守国家法律、法规和规章，全面履行应尽的责任和义务，全面做到履约守信，具备《政府采购法》第二十二条第一款规定的条件。</w:t>
      </w:r>
    </w:p>
    <w:p>
      <w:pPr>
        <w:spacing w:line="360" w:lineRule="auto"/>
        <w:ind w:firstLine="425"/>
        <w:rPr>
          <w:rFonts w:ascii="宋体" w:hAnsi="宋体" w:cs="宋体"/>
          <w:snapToGrid w:val="0"/>
          <w:kern w:val="0"/>
        </w:rPr>
      </w:pPr>
      <w:r>
        <w:rPr>
          <w:rFonts w:hint="eastAsia" w:ascii="宋体" w:hAnsi="宋体" w:cs="宋体"/>
          <w:snapToGrid w:val="0"/>
          <w:kern w:val="0"/>
        </w:rPr>
        <w:t>二、本单位已经阅读并充分理解《常州市政府采购供应商信用管理暂行办法》，自愿按照《常州市政府采购供应商信用管理暂行办法》规定，发生失信行为将记录并公开到“信用常州”、常州市政府采购网。</w:t>
      </w:r>
    </w:p>
    <w:p>
      <w:pPr>
        <w:spacing w:line="360" w:lineRule="auto"/>
        <w:ind w:firstLine="425"/>
        <w:rPr>
          <w:rFonts w:ascii="宋体" w:hAnsi="宋体" w:cs="宋体"/>
          <w:snapToGrid w:val="0"/>
          <w:kern w:val="0"/>
        </w:rPr>
      </w:pPr>
      <w:r>
        <w:rPr>
          <w:rFonts w:hint="eastAsia" w:ascii="宋体" w:hAnsi="宋体" w:cs="宋体"/>
          <w:snapToGrid w:val="0"/>
          <w:kern w:val="0"/>
        </w:rPr>
        <w:t>三、本单位提供给注册登记部门、行业管理部门、司法部门、行业组织以及在政府采购活动中提交的所有资料均合法、真实、有效，无任何伪造、修改、虚假成份，并对所提供资料的真实性负责。</w:t>
      </w:r>
    </w:p>
    <w:p>
      <w:pPr>
        <w:spacing w:line="360" w:lineRule="auto"/>
        <w:ind w:firstLine="425"/>
        <w:rPr>
          <w:rFonts w:ascii="宋体" w:hAnsi="宋体" w:cs="宋体"/>
          <w:snapToGrid w:val="0"/>
          <w:kern w:val="0"/>
        </w:rPr>
      </w:pPr>
      <w:r>
        <w:rPr>
          <w:rFonts w:hint="eastAsia" w:ascii="宋体" w:hAnsi="宋体" w:cs="宋体"/>
          <w:snapToGrid w:val="0"/>
          <w:kern w:val="0"/>
        </w:rPr>
        <w:t>四、严格依法开展生产经营活动，主动接受行业监管，自愿接受依法开展的日常检查；违法失信经营后将自愿接受约束和惩戒，并依法承担相应责任。</w:t>
      </w:r>
    </w:p>
    <w:p>
      <w:pPr>
        <w:spacing w:line="360" w:lineRule="auto"/>
        <w:ind w:firstLine="425"/>
        <w:rPr>
          <w:rFonts w:ascii="宋体" w:hAnsi="宋体" w:cs="宋体"/>
          <w:snapToGrid w:val="0"/>
          <w:kern w:val="0"/>
        </w:rPr>
      </w:pPr>
      <w:r>
        <w:rPr>
          <w:rFonts w:hint="eastAsia" w:ascii="宋体" w:hAnsi="宋体" w:cs="宋体"/>
          <w:snapToGrid w:val="0"/>
          <w:kern w:val="0"/>
        </w:rPr>
        <w:t xml:space="preserve">五、承诺本单位自觉接受行政管理部门、行业组织、社会公众、新闻舆论的监督。 </w:t>
      </w:r>
    </w:p>
    <w:p>
      <w:pPr>
        <w:spacing w:line="360" w:lineRule="auto"/>
        <w:ind w:firstLine="425"/>
        <w:rPr>
          <w:rFonts w:ascii="宋体" w:hAnsi="宋体" w:cs="宋体"/>
          <w:snapToGrid w:val="0"/>
          <w:kern w:val="0"/>
        </w:rPr>
      </w:pPr>
      <w:r>
        <w:rPr>
          <w:rFonts w:hint="eastAsia" w:ascii="宋体" w:hAnsi="宋体" w:cs="宋体"/>
          <w:snapToGrid w:val="0"/>
          <w:kern w:val="0"/>
        </w:rPr>
        <w:t xml:space="preserve">六、承诺本单位自我约束、自我管理，重合同、守信用，不制假售假、商标侵权、虚假宣传、违约毁约、恶意逃债、偷税漏税、价格欺诈、垄断和不正当竞争，维护经营者、消费者的合法权益。 </w:t>
      </w:r>
    </w:p>
    <w:p>
      <w:pPr>
        <w:spacing w:line="360" w:lineRule="auto"/>
        <w:ind w:firstLine="425"/>
        <w:rPr>
          <w:rFonts w:ascii="宋体" w:hAnsi="宋体" w:cs="宋体"/>
          <w:snapToGrid w:val="0"/>
          <w:kern w:val="0"/>
        </w:rPr>
      </w:pPr>
      <w:r>
        <w:rPr>
          <w:rFonts w:hint="eastAsia" w:ascii="宋体" w:hAnsi="宋体" w:cs="宋体"/>
          <w:snapToGrid w:val="0"/>
          <w:kern w:val="0"/>
        </w:rPr>
        <w:t xml:space="preserve">七、承诺本单位在信用中国（江苏）网站中无违法违规、较重或严重失信记录。 </w:t>
      </w:r>
    </w:p>
    <w:p>
      <w:pPr>
        <w:spacing w:line="360" w:lineRule="auto"/>
        <w:ind w:firstLine="425"/>
        <w:rPr>
          <w:rFonts w:ascii="宋体" w:hAnsi="宋体" w:cs="宋体"/>
          <w:snapToGrid w:val="0"/>
          <w:kern w:val="0"/>
        </w:rPr>
      </w:pPr>
      <w:r>
        <w:rPr>
          <w:rFonts w:hint="eastAsia" w:ascii="宋体" w:hAnsi="宋体" w:cs="宋体"/>
          <w:snapToGrid w:val="0"/>
          <w:kern w:val="0"/>
        </w:rPr>
        <w:t>八、承诺本单位提出政府采购质疑和投诉坚持依法依规、诚实信用原则。</w:t>
      </w:r>
    </w:p>
    <w:p>
      <w:pPr>
        <w:spacing w:line="360" w:lineRule="auto"/>
        <w:ind w:firstLine="425"/>
        <w:rPr>
          <w:rFonts w:ascii="宋体" w:hAnsi="宋体" w:cs="宋体"/>
          <w:snapToGrid w:val="0"/>
          <w:kern w:val="0"/>
        </w:rPr>
      </w:pPr>
      <w:r>
        <w:rPr>
          <w:rFonts w:hint="eastAsia" w:ascii="宋体" w:hAnsi="宋体" w:cs="宋体"/>
          <w:snapToGrid w:val="0"/>
          <w:kern w:val="0"/>
        </w:rPr>
        <w:t xml:space="preserve">九、根据政府采购相关法律法规的规定需要作出的其他承诺。 </w:t>
      </w:r>
    </w:p>
    <w:p>
      <w:pPr>
        <w:spacing w:line="360" w:lineRule="auto"/>
        <w:ind w:firstLine="425"/>
        <w:rPr>
          <w:rFonts w:ascii="宋体" w:hAnsi="宋体" w:cs="宋体"/>
          <w:snapToGrid w:val="0"/>
          <w:kern w:val="0"/>
        </w:rPr>
      </w:pPr>
      <w:r>
        <w:rPr>
          <w:rFonts w:hint="eastAsia" w:ascii="宋体" w:hAnsi="宋体" w:cs="宋体"/>
          <w:snapToGrid w:val="0"/>
          <w:kern w:val="0"/>
        </w:rPr>
        <w:t>十、承诺本单位若违背承诺约定，经查实，愿意接受行业主管部门和信用管理部门相应的规定处罚，承担违约责任，并依法承担相应的法律责任。</w:t>
      </w:r>
    </w:p>
    <w:p>
      <w:pPr>
        <w:spacing w:line="360" w:lineRule="auto"/>
        <w:ind w:firstLine="425"/>
        <w:rPr>
          <w:rFonts w:ascii="宋体" w:hAnsi="宋体" w:cs="宋体"/>
          <w:snapToGrid w:val="0"/>
          <w:kern w:val="0"/>
        </w:rPr>
      </w:pPr>
      <w:r>
        <w:rPr>
          <w:rFonts w:hint="eastAsia" w:ascii="宋体" w:hAnsi="宋体" w:cs="宋体"/>
          <w:snapToGrid w:val="0"/>
          <w:kern w:val="0"/>
        </w:rPr>
        <w:t>十一、承诺本单位同意将以上承诺事项上网公示，违背承诺约定行为将作为失信信息，记录到常州市公共信用信息系统，并予以公开。</w:t>
      </w:r>
    </w:p>
    <w:p>
      <w:pPr>
        <w:spacing w:line="360" w:lineRule="auto"/>
        <w:ind w:firstLine="640"/>
        <w:rPr>
          <w:rFonts w:ascii="宋体" w:hAnsi="宋体" w:cs="宋体"/>
          <w:snapToGrid w:val="0"/>
          <w:kern w:val="0"/>
        </w:rPr>
      </w:pPr>
    </w:p>
    <w:p>
      <w:pPr>
        <w:pStyle w:val="63"/>
        <w:spacing w:line="360" w:lineRule="auto"/>
        <w:ind w:right="1050" w:rightChars="500" w:firstLine="2520" w:firstLineChars="1200"/>
        <w:jc w:val="both"/>
        <w:rPr>
          <w:rFonts w:ascii="宋体" w:hAnsi="宋体" w:eastAsia="宋体" w:cs="宋体"/>
          <w:snapToGrid w:val="0"/>
          <w:kern w:val="0"/>
          <w:sz w:val="21"/>
          <w:lang w:val="en-US"/>
        </w:rPr>
      </w:pPr>
      <w:r>
        <w:rPr>
          <w:rFonts w:hint="eastAsia" w:ascii="宋体" w:hAnsi="宋体" w:eastAsia="宋体" w:cs="宋体"/>
          <w:snapToGrid w:val="0"/>
          <w:kern w:val="0"/>
          <w:sz w:val="21"/>
          <w:lang w:val="en-US"/>
        </w:rPr>
        <w:t>承诺单位（盖章）：</w:t>
      </w:r>
    </w:p>
    <w:p>
      <w:pPr>
        <w:pStyle w:val="63"/>
        <w:spacing w:line="360" w:lineRule="auto"/>
        <w:ind w:right="1050" w:rightChars="500" w:firstLine="2100" w:firstLineChars="1000"/>
        <w:jc w:val="both"/>
        <w:rPr>
          <w:rFonts w:ascii="宋体" w:hAnsi="宋体" w:eastAsia="宋体" w:cs="宋体"/>
          <w:snapToGrid w:val="0"/>
          <w:kern w:val="0"/>
          <w:sz w:val="21"/>
          <w:lang w:val="en-US"/>
        </w:rPr>
      </w:pPr>
      <w:r>
        <w:rPr>
          <w:rFonts w:hint="eastAsia" w:ascii="宋体" w:hAnsi="宋体" w:eastAsia="宋体" w:cs="宋体"/>
          <w:snapToGrid w:val="0"/>
          <w:kern w:val="0"/>
          <w:sz w:val="21"/>
          <w:lang w:val="en-US"/>
        </w:rPr>
        <w:t>法定代表人（负责人）：</w:t>
      </w:r>
    </w:p>
    <w:p>
      <w:pPr>
        <w:pStyle w:val="63"/>
        <w:spacing w:line="360" w:lineRule="auto"/>
        <w:ind w:right="840" w:firstLine="6090" w:firstLineChars="2900"/>
        <w:jc w:val="both"/>
        <w:rPr>
          <w:rFonts w:hint="eastAsia" w:ascii="宋体" w:hAnsi="宋体" w:eastAsia="宋体" w:cs="宋体"/>
          <w:snapToGrid w:val="0"/>
          <w:kern w:val="0"/>
          <w:sz w:val="21"/>
          <w:lang w:val="en-US"/>
        </w:rPr>
      </w:pPr>
      <w:r>
        <w:rPr>
          <w:rFonts w:hint="eastAsia" w:ascii="宋体" w:hAnsi="宋体" w:eastAsia="宋体" w:cs="宋体"/>
          <w:snapToGrid w:val="0"/>
          <w:kern w:val="0"/>
          <w:sz w:val="21"/>
          <w:lang w:val="en-US"/>
        </w:rPr>
        <w:t>年   月   日</w:t>
      </w:r>
    </w:p>
    <w:p>
      <w:pPr>
        <w:pStyle w:val="63"/>
        <w:spacing w:line="360" w:lineRule="auto"/>
        <w:ind w:right="840" w:firstLine="6090" w:firstLineChars="2900"/>
        <w:jc w:val="both"/>
        <w:rPr>
          <w:rFonts w:ascii="宋体" w:hAnsi="宋体" w:eastAsia="宋体" w:cs="宋体"/>
          <w:snapToGrid w:val="0"/>
          <w:kern w:val="0"/>
          <w:sz w:val="21"/>
          <w:lang w:val="en-US"/>
        </w:rPr>
      </w:pPr>
    </w:p>
    <w:p>
      <w:pPr>
        <w:spacing w:line="360" w:lineRule="auto"/>
        <w:rPr>
          <w:rFonts w:ascii="宋体" w:hAnsi="宋体" w:cs="宋体"/>
          <w:b/>
          <w:sz w:val="28"/>
          <w:szCs w:val="28"/>
        </w:rPr>
      </w:pPr>
      <w:r>
        <w:rPr>
          <w:rFonts w:hint="eastAsia" w:ascii="宋体" w:hAnsi="宋体" w:cs="宋体"/>
          <w:b/>
          <w:sz w:val="28"/>
          <w:szCs w:val="28"/>
        </w:rPr>
        <w:t>6.报价一览表</w:t>
      </w:r>
    </w:p>
    <w:p>
      <w:pPr>
        <w:spacing w:line="360" w:lineRule="auto"/>
        <w:jc w:val="center"/>
        <w:rPr>
          <w:rFonts w:ascii="宋体" w:hAnsi="宋体" w:cs="宋体"/>
          <w:b/>
          <w:color w:val="000000"/>
          <w:sz w:val="28"/>
          <w:szCs w:val="28"/>
        </w:rPr>
      </w:pPr>
      <w:r>
        <w:rPr>
          <w:rFonts w:hint="eastAsia" w:ascii="宋体" w:hAnsi="宋体" w:cs="宋体"/>
          <w:b/>
          <w:color w:val="000000"/>
          <w:sz w:val="28"/>
          <w:szCs w:val="28"/>
        </w:rPr>
        <w:t>报价一览表</w:t>
      </w:r>
    </w:p>
    <w:p>
      <w:pPr>
        <w:spacing w:line="360" w:lineRule="auto"/>
        <w:rPr>
          <w:rFonts w:ascii="宋体" w:hAnsi="宋体" w:cs="宋体"/>
          <w:b/>
          <w:color w:val="000000"/>
          <w:kern w:val="0"/>
          <w:szCs w:val="21"/>
        </w:rPr>
      </w:pPr>
      <w:r>
        <w:rPr>
          <w:rFonts w:hint="eastAsia" w:ascii="宋体" w:hAnsi="宋体" w:cs="宋体"/>
          <w:b/>
          <w:color w:val="000000"/>
          <w:kern w:val="0"/>
          <w:szCs w:val="21"/>
        </w:rPr>
        <w:t xml:space="preserve">       单位：人民币</w:t>
      </w:r>
    </w:p>
    <w:tbl>
      <w:tblPr>
        <w:tblStyle w:val="22"/>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项目名称</w:t>
            </w:r>
          </w:p>
        </w:tc>
        <w:tc>
          <w:tcPr>
            <w:tcW w:w="6662" w:type="dxa"/>
          </w:tcPr>
          <w:p>
            <w:pPr>
              <w:widowControl/>
              <w:spacing w:line="360" w:lineRule="auto"/>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2093"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项目编号</w:t>
            </w:r>
          </w:p>
        </w:tc>
        <w:tc>
          <w:tcPr>
            <w:tcW w:w="6662" w:type="dxa"/>
          </w:tcPr>
          <w:p>
            <w:pPr>
              <w:widowControl/>
              <w:spacing w:line="360" w:lineRule="auto"/>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磋商总价</w:t>
            </w:r>
          </w:p>
        </w:tc>
        <w:tc>
          <w:tcPr>
            <w:tcW w:w="6662" w:type="dxa"/>
          </w:tcPr>
          <w:p>
            <w:pPr>
              <w:widowControl/>
              <w:spacing w:line="360" w:lineRule="auto"/>
              <w:jc w:val="center"/>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2093" w:type="dxa"/>
            <w:vAlign w:val="center"/>
          </w:tcPr>
          <w:p>
            <w:pPr>
              <w:spacing w:line="360" w:lineRule="auto"/>
              <w:jc w:val="center"/>
              <w:rPr>
                <w:rFonts w:ascii="宋体" w:hAnsi="宋体" w:cs="宋体"/>
                <w:color w:val="000000"/>
                <w:szCs w:val="21"/>
              </w:rPr>
            </w:pPr>
            <w:r>
              <w:rPr>
                <w:rFonts w:hint="eastAsia" w:ascii="宋体" w:hAnsi="宋体" w:cs="宋体"/>
                <w:color w:val="000000"/>
                <w:szCs w:val="21"/>
              </w:rPr>
              <w:t>服务期限</w:t>
            </w:r>
          </w:p>
        </w:tc>
        <w:tc>
          <w:tcPr>
            <w:tcW w:w="6662" w:type="dxa"/>
            <w:vAlign w:val="center"/>
          </w:tcPr>
          <w:p>
            <w:pPr>
              <w:widowControl/>
              <w:spacing w:line="360" w:lineRule="auto"/>
              <w:jc w:val="center"/>
              <w:rPr>
                <w:rFonts w:ascii="宋体" w:hAnsi="宋体" w:cs="宋体"/>
                <w:color w:val="000000"/>
                <w:szCs w:val="21"/>
              </w:rPr>
            </w:pPr>
            <w:r>
              <w:rPr>
                <w:rFonts w:hint="eastAsia" w:ascii="宋体" w:hAnsi="宋体" w:cs="宋体"/>
                <w:color w:val="000000"/>
                <w:szCs w:val="21"/>
              </w:rPr>
              <w:t>年</w:t>
            </w:r>
          </w:p>
        </w:tc>
      </w:tr>
    </w:tbl>
    <w:p>
      <w:pPr>
        <w:spacing w:line="360" w:lineRule="auto"/>
        <w:rPr>
          <w:rFonts w:ascii="宋体" w:hAnsi="宋体" w:cs="宋体"/>
          <w:color w:val="000000"/>
          <w:szCs w:val="21"/>
        </w:rPr>
      </w:pPr>
      <w:r>
        <w:rPr>
          <w:rFonts w:hint="eastAsia" w:ascii="宋体" w:hAnsi="宋体" w:cs="宋体"/>
          <w:color w:val="000000"/>
          <w:szCs w:val="21"/>
        </w:rPr>
        <w:t>供应商</w:t>
      </w:r>
      <w:r>
        <w:rPr>
          <w:rFonts w:hint="eastAsia" w:ascii="宋体" w:hAnsi="宋体" w:cs="宋体"/>
          <w:szCs w:val="21"/>
        </w:rPr>
        <w:t>名称（公章）：</w:t>
      </w:r>
    </w:p>
    <w:p>
      <w:pPr>
        <w:spacing w:line="360" w:lineRule="auto"/>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auto"/>
        <w:rPr>
          <w:rFonts w:ascii="宋体" w:hAnsi="宋体" w:cs="宋体"/>
          <w:color w:val="000000"/>
          <w:szCs w:val="21"/>
        </w:rPr>
      </w:pPr>
      <w:r>
        <w:rPr>
          <w:rFonts w:hint="eastAsia" w:ascii="宋体" w:hAnsi="宋体" w:cs="宋体"/>
          <w:color w:val="000000"/>
          <w:szCs w:val="21"/>
        </w:rPr>
        <w:t>日期：      年    月    日</w:t>
      </w:r>
    </w:p>
    <w:p>
      <w:pPr>
        <w:spacing w:line="360" w:lineRule="auto"/>
        <w:rPr>
          <w:rFonts w:ascii="宋体" w:hAnsi="宋体" w:cs="宋体"/>
          <w:b/>
          <w:sz w:val="28"/>
          <w:szCs w:val="28"/>
        </w:rPr>
      </w:pPr>
    </w:p>
    <w:p>
      <w:pPr>
        <w:spacing w:line="360" w:lineRule="auto"/>
        <w:rPr>
          <w:rFonts w:ascii="宋体" w:hAnsi="宋体" w:cs="宋体"/>
          <w:b/>
          <w:sz w:val="28"/>
          <w:szCs w:val="28"/>
        </w:rPr>
      </w:pPr>
    </w:p>
    <w:p>
      <w:pPr>
        <w:spacing w:line="360" w:lineRule="auto"/>
        <w:rPr>
          <w:rFonts w:ascii="宋体" w:hAnsi="宋体" w:cs="宋体"/>
          <w:b/>
          <w:sz w:val="28"/>
          <w:szCs w:val="28"/>
        </w:rPr>
      </w:pPr>
      <w:r>
        <w:rPr>
          <w:rFonts w:hint="eastAsia" w:ascii="宋体" w:hAnsi="宋体" w:cs="宋体"/>
          <w:b/>
          <w:sz w:val="28"/>
          <w:szCs w:val="28"/>
        </w:rPr>
        <w:t>7.磋商分项报价表</w:t>
      </w:r>
    </w:p>
    <w:p>
      <w:pPr>
        <w:spacing w:line="360" w:lineRule="auto"/>
        <w:jc w:val="center"/>
        <w:rPr>
          <w:rFonts w:ascii="宋体" w:hAnsi="宋体" w:cs="宋体"/>
          <w:szCs w:val="21"/>
        </w:rPr>
      </w:pPr>
      <w:r>
        <w:rPr>
          <w:rFonts w:hint="eastAsia" w:ascii="宋体" w:hAnsi="宋体" w:cs="宋体"/>
          <w:b/>
          <w:sz w:val="28"/>
          <w:szCs w:val="28"/>
        </w:rPr>
        <w:t>磋商分项报价表</w:t>
      </w:r>
    </w:p>
    <w:p>
      <w:pPr>
        <w:snapToGrid w:val="0"/>
        <w:spacing w:line="360" w:lineRule="auto"/>
        <w:rPr>
          <w:rFonts w:ascii="宋体" w:hAnsi="宋体" w:cs="宋体"/>
          <w:szCs w:val="21"/>
        </w:rPr>
      </w:pPr>
    </w:p>
    <w:p>
      <w:pPr>
        <w:snapToGrid w:val="0"/>
        <w:spacing w:line="360" w:lineRule="auto"/>
        <w:rPr>
          <w:rFonts w:ascii="宋体" w:hAnsi="宋体" w:cs="宋体"/>
          <w:color w:val="FF0000"/>
          <w:kern w:val="0"/>
          <w:szCs w:val="21"/>
        </w:rPr>
      </w:pPr>
      <w:r>
        <w:rPr>
          <w:rFonts w:hint="eastAsia" w:ascii="宋体" w:hAnsi="宋体" w:cs="宋体"/>
          <w:szCs w:val="21"/>
        </w:rPr>
        <w:t>项目编号：</w:t>
      </w: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jc w:val="center"/>
        <w:rPr>
          <w:rFonts w:ascii="宋体" w:hAnsi="宋体" w:cs="宋体"/>
          <w:color w:val="000000"/>
          <w:szCs w:val="21"/>
        </w:rPr>
      </w:pPr>
      <w:r>
        <w:rPr>
          <w:rFonts w:hint="eastAsia" w:ascii="宋体" w:hAnsi="宋体" w:cs="宋体"/>
          <w:color w:val="000000"/>
          <w:szCs w:val="21"/>
        </w:rPr>
        <w:t>格式自拟</w:t>
      </w: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p>
    <w:p>
      <w:pPr>
        <w:spacing w:line="360" w:lineRule="auto"/>
        <w:rPr>
          <w:rFonts w:ascii="宋体" w:hAnsi="宋体" w:cs="宋体"/>
          <w:color w:val="000000"/>
          <w:szCs w:val="21"/>
        </w:rPr>
      </w:pPr>
      <w:r>
        <w:rPr>
          <w:rFonts w:hint="eastAsia" w:ascii="宋体" w:hAnsi="宋体" w:cs="宋体"/>
          <w:color w:val="000000"/>
          <w:szCs w:val="21"/>
        </w:rPr>
        <w:t>供应商</w:t>
      </w:r>
      <w:r>
        <w:rPr>
          <w:rFonts w:hint="eastAsia" w:ascii="宋体" w:hAnsi="宋体" w:cs="宋体"/>
          <w:szCs w:val="21"/>
        </w:rPr>
        <w:t>名称（公章）：</w:t>
      </w:r>
    </w:p>
    <w:p>
      <w:pPr>
        <w:spacing w:line="360" w:lineRule="auto"/>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auto"/>
        <w:rPr>
          <w:rFonts w:ascii="宋体" w:hAnsi="宋体" w:cs="宋体"/>
          <w:color w:val="000000"/>
          <w:szCs w:val="21"/>
        </w:rPr>
      </w:pPr>
      <w:r>
        <w:rPr>
          <w:rFonts w:hint="eastAsia" w:ascii="宋体" w:hAnsi="宋体" w:cs="宋体"/>
          <w:color w:val="000000"/>
          <w:szCs w:val="21"/>
        </w:rPr>
        <w:t>日期：      年    月    日</w:t>
      </w:r>
    </w:p>
    <w:p>
      <w:pPr>
        <w:snapToGrid w:val="0"/>
        <w:spacing w:line="360" w:lineRule="auto"/>
        <w:rPr>
          <w:rFonts w:ascii="宋体" w:hAnsi="宋体" w:cs="宋体"/>
          <w:color w:val="FF0000"/>
          <w:szCs w:val="21"/>
        </w:rPr>
      </w:pPr>
    </w:p>
    <w:p>
      <w:pPr>
        <w:spacing w:line="360" w:lineRule="auto"/>
        <w:rPr>
          <w:rFonts w:ascii="宋体" w:hAnsi="宋体" w:cs="宋体"/>
          <w:b/>
          <w:sz w:val="28"/>
          <w:szCs w:val="28"/>
        </w:rPr>
      </w:pPr>
      <w:r>
        <w:rPr>
          <w:rFonts w:hint="eastAsia" w:ascii="宋体" w:hAnsi="宋体" w:cs="宋体"/>
          <w:b/>
          <w:sz w:val="28"/>
          <w:szCs w:val="28"/>
        </w:rPr>
        <w:br w:type="page"/>
      </w:r>
    </w:p>
    <w:p>
      <w:pPr>
        <w:widowControl/>
        <w:spacing w:line="360" w:lineRule="auto"/>
        <w:jc w:val="left"/>
        <w:rPr>
          <w:rFonts w:ascii="宋体" w:hAnsi="宋体" w:cs="宋体"/>
          <w:b/>
          <w:sz w:val="28"/>
          <w:szCs w:val="28"/>
        </w:rPr>
      </w:pPr>
      <w:r>
        <w:rPr>
          <w:rFonts w:hint="eastAsia" w:ascii="宋体" w:hAnsi="宋体" w:cs="宋体"/>
          <w:b/>
          <w:sz w:val="28"/>
          <w:szCs w:val="28"/>
        </w:rPr>
        <w:t>8.偏离表</w:t>
      </w:r>
    </w:p>
    <w:p>
      <w:pPr>
        <w:spacing w:line="360" w:lineRule="auto"/>
        <w:jc w:val="center"/>
        <w:rPr>
          <w:rFonts w:ascii="宋体" w:hAnsi="宋体" w:cs="宋体"/>
          <w:b/>
          <w:sz w:val="28"/>
          <w:szCs w:val="28"/>
        </w:rPr>
      </w:pPr>
      <w:r>
        <w:rPr>
          <w:rFonts w:hint="eastAsia" w:ascii="宋体" w:hAnsi="宋体" w:cs="宋体"/>
          <w:b/>
          <w:sz w:val="28"/>
          <w:szCs w:val="28"/>
        </w:rPr>
        <w:t>偏 离 表</w:t>
      </w:r>
    </w:p>
    <w:p>
      <w:pPr>
        <w:spacing w:line="360" w:lineRule="auto"/>
        <w:ind w:firstLine="420" w:firstLineChars="200"/>
        <w:rPr>
          <w:rFonts w:ascii="宋体" w:hAnsi="宋体" w:cs="宋体"/>
          <w:szCs w:val="21"/>
        </w:rPr>
      </w:pPr>
      <w:r>
        <w:rPr>
          <w:rFonts w:hint="eastAsia" w:ascii="宋体" w:hAnsi="宋体" w:cs="宋体"/>
          <w:szCs w:val="21"/>
        </w:rPr>
        <w:t>供应商应对竞争性磋商文件中规定的商务及技术部分给予充分的考虑。为了评审的需要，供应商应将这些条款的异议逐条提出或根据以下要求的格式提出偏离。</w:t>
      </w:r>
    </w:p>
    <w:p>
      <w:pPr>
        <w:spacing w:line="360" w:lineRule="auto"/>
        <w:ind w:firstLine="420" w:firstLineChars="200"/>
        <w:rPr>
          <w:rFonts w:ascii="宋体" w:hAnsi="宋体" w:cs="宋体"/>
          <w:szCs w:val="21"/>
        </w:rPr>
      </w:pPr>
      <w:r>
        <w:rPr>
          <w:rFonts w:hint="eastAsia" w:ascii="宋体" w:hAnsi="宋体" w:cs="宋体"/>
          <w:szCs w:val="21"/>
        </w:rPr>
        <w:t>如无偏离，请在本表格中写“无”，并附在磋商响应文件中。</w:t>
      </w:r>
    </w:p>
    <w:p>
      <w:pPr>
        <w:spacing w:line="360" w:lineRule="auto"/>
        <w:ind w:firstLine="420" w:firstLineChars="200"/>
        <w:rPr>
          <w:rFonts w:ascii="宋体" w:hAnsi="宋体" w:cs="宋体"/>
          <w:szCs w:val="21"/>
        </w:rPr>
      </w:pPr>
      <w:r>
        <w:rPr>
          <w:rFonts w:hint="eastAsia" w:ascii="宋体" w:hAnsi="宋体" w:cs="宋体"/>
          <w:szCs w:val="21"/>
        </w:rPr>
        <w:t>项目编号：</w:t>
      </w:r>
    </w:p>
    <w:tbl>
      <w:tblPr>
        <w:tblStyle w:val="22"/>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vAlign w:val="center"/>
          </w:tcPr>
          <w:p>
            <w:pPr>
              <w:spacing w:line="360" w:lineRule="auto"/>
              <w:jc w:val="center"/>
              <w:rPr>
                <w:rFonts w:ascii="宋体" w:hAnsi="宋体" w:cs="宋体"/>
                <w:szCs w:val="21"/>
              </w:rPr>
            </w:pPr>
            <w:r>
              <w:rPr>
                <w:rFonts w:hint="eastAsia" w:ascii="宋体" w:hAnsi="宋体" w:cs="宋体"/>
                <w:szCs w:val="21"/>
              </w:rPr>
              <w:t>章节号</w:t>
            </w:r>
          </w:p>
        </w:tc>
        <w:tc>
          <w:tcPr>
            <w:tcW w:w="2132" w:type="dxa"/>
            <w:vAlign w:val="center"/>
          </w:tcPr>
          <w:p>
            <w:pPr>
              <w:spacing w:line="360" w:lineRule="auto"/>
              <w:jc w:val="center"/>
              <w:rPr>
                <w:rFonts w:ascii="宋体" w:hAnsi="宋体" w:cs="宋体"/>
                <w:szCs w:val="21"/>
              </w:rPr>
            </w:pPr>
            <w:r>
              <w:rPr>
                <w:rFonts w:hint="eastAsia" w:ascii="宋体" w:hAnsi="宋体" w:cs="宋体"/>
                <w:szCs w:val="21"/>
              </w:rPr>
              <w:t>供应商的偏离</w:t>
            </w:r>
          </w:p>
        </w:tc>
        <w:tc>
          <w:tcPr>
            <w:tcW w:w="3044" w:type="dxa"/>
            <w:vAlign w:val="center"/>
          </w:tcPr>
          <w:p>
            <w:pPr>
              <w:spacing w:line="360" w:lineRule="auto"/>
              <w:jc w:val="center"/>
              <w:rPr>
                <w:rFonts w:ascii="宋体" w:hAnsi="宋体" w:cs="宋体"/>
                <w:szCs w:val="21"/>
              </w:rPr>
            </w:pPr>
            <w:r>
              <w:rPr>
                <w:rFonts w:hint="eastAsia" w:ascii="宋体" w:hAnsi="宋体" w:cs="宋体"/>
                <w:szCs w:val="21"/>
              </w:rPr>
              <w:t>供应商偏离的理由</w:t>
            </w:r>
          </w:p>
        </w:tc>
        <w:tc>
          <w:tcPr>
            <w:tcW w:w="1440" w:type="dxa"/>
            <w:vAlign w:val="center"/>
          </w:tcPr>
          <w:p>
            <w:pPr>
              <w:spacing w:line="360" w:lineRule="auto"/>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spacing w:line="360" w:lineRule="auto"/>
              <w:rPr>
                <w:rFonts w:ascii="宋体" w:hAnsi="宋体" w:cs="宋体"/>
                <w:szCs w:val="21"/>
              </w:rPr>
            </w:pPr>
          </w:p>
        </w:tc>
        <w:tc>
          <w:tcPr>
            <w:tcW w:w="2132" w:type="dxa"/>
          </w:tcPr>
          <w:p>
            <w:pPr>
              <w:spacing w:line="360" w:lineRule="auto"/>
              <w:rPr>
                <w:rFonts w:ascii="宋体" w:hAnsi="宋体" w:cs="宋体"/>
                <w:szCs w:val="21"/>
              </w:rPr>
            </w:pPr>
          </w:p>
        </w:tc>
        <w:tc>
          <w:tcPr>
            <w:tcW w:w="3044" w:type="dxa"/>
          </w:tcPr>
          <w:p>
            <w:pPr>
              <w:spacing w:line="360" w:lineRule="auto"/>
              <w:rPr>
                <w:rFonts w:ascii="宋体" w:hAnsi="宋体" w:cs="宋体"/>
                <w:szCs w:val="21"/>
              </w:rPr>
            </w:pPr>
          </w:p>
        </w:tc>
        <w:tc>
          <w:tcPr>
            <w:tcW w:w="1440"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spacing w:line="360" w:lineRule="auto"/>
              <w:rPr>
                <w:rFonts w:ascii="宋体" w:hAnsi="宋体" w:cs="宋体"/>
                <w:szCs w:val="21"/>
              </w:rPr>
            </w:pPr>
          </w:p>
        </w:tc>
        <w:tc>
          <w:tcPr>
            <w:tcW w:w="2132" w:type="dxa"/>
          </w:tcPr>
          <w:p>
            <w:pPr>
              <w:spacing w:line="360" w:lineRule="auto"/>
              <w:rPr>
                <w:rFonts w:ascii="宋体" w:hAnsi="宋体" w:cs="宋体"/>
                <w:szCs w:val="21"/>
              </w:rPr>
            </w:pPr>
          </w:p>
        </w:tc>
        <w:tc>
          <w:tcPr>
            <w:tcW w:w="3044" w:type="dxa"/>
          </w:tcPr>
          <w:p>
            <w:pPr>
              <w:spacing w:line="360" w:lineRule="auto"/>
              <w:rPr>
                <w:rFonts w:ascii="宋体" w:hAnsi="宋体" w:cs="宋体"/>
                <w:szCs w:val="21"/>
              </w:rPr>
            </w:pPr>
          </w:p>
        </w:tc>
        <w:tc>
          <w:tcPr>
            <w:tcW w:w="1440" w:type="dxa"/>
          </w:tcPr>
          <w:p>
            <w:pPr>
              <w:spacing w:line="360" w:lineRule="auto"/>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32" w:type="dxa"/>
          </w:tcPr>
          <w:p>
            <w:pPr>
              <w:spacing w:line="360" w:lineRule="auto"/>
              <w:rPr>
                <w:rFonts w:ascii="宋体" w:hAnsi="宋体" w:cs="宋体"/>
                <w:szCs w:val="21"/>
              </w:rPr>
            </w:pPr>
          </w:p>
        </w:tc>
        <w:tc>
          <w:tcPr>
            <w:tcW w:w="2132" w:type="dxa"/>
          </w:tcPr>
          <w:p>
            <w:pPr>
              <w:spacing w:line="360" w:lineRule="auto"/>
              <w:rPr>
                <w:rFonts w:ascii="宋体" w:hAnsi="宋体" w:cs="宋体"/>
                <w:szCs w:val="21"/>
              </w:rPr>
            </w:pPr>
          </w:p>
        </w:tc>
        <w:tc>
          <w:tcPr>
            <w:tcW w:w="3044" w:type="dxa"/>
          </w:tcPr>
          <w:p>
            <w:pPr>
              <w:spacing w:line="360" w:lineRule="auto"/>
              <w:rPr>
                <w:rFonts w:ascii="宋体" w:hAnsi="宋体" w:cs="宋体"/>
                <w:szCs w:val="21"/>
              </w:rPr>
            </w:pPr>
          </w:p>
        </w:tc>
        <w:tc>
          <w:tcPr>
            <w:tcW w:w="1440" w:type="dxa"/>
          </w:tcPr>
          <w:p>
            <w:pPr>
              <w:spacing w:line="360" w:lineRule="auto"/>
              <w:rPr>
                <w:rFonts w:ascii="宋体" w:hAnsi="宋体" w:cs="宋体"/>
                <w:szCs w:val="21"/>
              </w:rPr>
            </w:pPr>
          </w:p>
        </w:tc>
      </w:tr>
    </w:tbl>
    <w:p>
      <w:pPr>
        <w:spacing w:line="360" w:lineRule="auto"/>
        <w:rPr>
          <w:rFonts w:ascii="宋体" w:hAnsi="宋体" w:cs="宋体"/>
          <w:color w:val="000000"/>
          <w:szCs w:val="21"/>
        </w:rPr>
      </w:pPr>
      <w:r>
        <w:rPr>
          <w:rFonts w:hint="eastAsia" w:ascii="宋体" w:hAnsi="宋体" w:cs="宋体"/>
          <w:color w:val="000000"/>
          <w:szCs w:val="21"/>
        </w:rPr>
        <w:t>供应商</w:t>
      </w:r>
      <w:r>
        <w:rPr>
          <w:rFonts w:hint="eastAsia" w:ascii="宋体" w:hAnsi="宋体" w:cs="宋体"/>
          <w:szCs w:val="21"/>
        </w:rPr>
        <w:t>名称（公章）：</w:t>
      </w:r>
    </w:p>
    <w:p>
      <w:pPr>
        <w:spacing w:line="360" w:lineRule="auto"/>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auto"/>
        <w:rPr>
          <w:rFonts w:ascii="宋体" w:hAnsi="宋体" w:cs="宋体"/>
          <w:color w:val="000000"/>
          <w:szCs w:val="21"/>
        </w:rPr>
      </w:pPr>
      <w:r>
        <w:rPr>
          <w:rFonts w:hint="eastAsia" w:ascii="宋体" w:hAnsi="宋体" w:cs="宋体"/>
          <w:color w:val="000000"/>
          <w:szCs w:val="21"/>
        </w:rPr>
        <w:t>日期：      年    月    日</w:t>
      </w:r>
    </w:p>
    <w:p>
      <w:pPr>
        <w:pStyle w:val="7"/>
        <w:overflowPunct w:val="0"/>
        <w:spacing w:line="360" w:lineRule="auto"/>
        <w:ind w:firstLine="0"/>
        <w:rPr>
          <w:rFonts w:hAnsi="宋体" w:cs="宋体"/>
          <w:b/>
          <w:sz w:val="28"/>
          <w:szCs w:val="28"/>
        </w:rPr>
      </w:pPr>
    </w:p>
    <w:p>
      <w:pPr>
        <w:pStyle w:val="7"/>
        <w:overflowPunct w:val="0"/>
        <w:adjustRightInd/>
        <w:spacing w:line="360" w:lineRule="auto"/>
        <w:ind w:firstLine="0"/>
        <w:rPr>
          <w:rFonts w:hAnsi="宋体" w:cs="宋体"/>
          <w:b/>
          <w:bCs/>
          <w:sz w:val="28"/>
          <w:szCs w:val="28"/>
        </w:rPr>
      </w:pPr>
      <w:r>
        <w:rPr>
          <w:rFonts w:hint="eastAsia" w:hAnsi="宋体" w:cs="宋体"/>
          <w:b/>
          <w:bCs/>
          <w:sz w:val="28"/>
          <w:szCs w:val="28"/>
        </w:rPr>
        <w:t>9.服务承诺书</w:t>
      </w:r>
    </w:p>
    <w:p>
      <w:pPr>
        <w:pStyle w:val="3"/>
        <w:tabs>
          <w:tab w:val="left" w:pos="432"/>
        </w:tabs>
        <w:spacing w:line="360" w:lineRule="auto"/>
        <w:rPr>
          <w:rFonts w:ascii="宋体" w:hAnsi="宋体" w:cs="宋体"/>
          <w:b w:val="0"/>
          <w:bCs/>
          <w:szCs w:val="32"/>
        </w:rPr>
      </w:pPr>
    </w:p>
    <w:p>
      <w:pPr>
        <w:spacing w:line="360" w:lineRule="auto"/>
        <w:jc w:val="center"/>
        <w:rPr>
          <w:rFonts w:ascii="宋体" w:hAnsi="宋体" w:cs="宋体"/>
          <w:b/>
          <w:sz w:val="28"/>
          <w:szCs w:val="28"/>
        </w:rPr>
      </w:pPr>
      <w:r>
        <w:rPr>
          <w:rFonts w:hint="eastAsia" w:ascii="宋体" w:hAnsi="宋体" w:cs="宋体"/>
          <w:b/>
          <w:sz w:val="28"/>
          <w:szCs w:val="28"/>
        </w:rPr>
        <w:t>服务承诺书</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服务承诺如下：</w:t>
      </w:r>
    </w:p>
    <w:p>
      <w:pPr>
        <w:spacing w:line="360" w:lineRule="auto"/>
        <w:rPr>
          <w:rFonts w:ascii="宋体" w:hAnsi="宋体" w:cs="宋体"/>
          <w:sz w:val="24"/>
          <w:szCs w:val="24"/>
        </w:rPr>
      </w:pPr>
    </w:p>
    <w:p>
      <w:pPr>
        <w:pStyle w:val="10"/>
        <w:spacing w:line="360" w:lineRule="auto"/>
        <w:rPr>
          <w:rFonts w:ascii="宋体" w:hAnsi="宋体" w:cs="宋体"/>
          <w:sz w:val="24"/>
        </w:rPr>
      </w:pPr>
    </w:p>
    <w:p>
      <w:pPr>
        <w:spacing w:line="360" w:lineRule="auto"/>
        <w:rPr>
          <w:rFonts w:ascii="宋体" w:hAnsi="宋体" w:cs="宋体"/>
          <w:sz w:val="24"/>
          <w:szCs w:val="24"/>
        </w:rPr>
      </w:pPr>
    </w:p>
    <w:p>
      <w:pPr>
        <w:pStyle w:val="10"/>
        <w:spacing w:line="360" w:lineRule="auto"/>
      </w:pPr>
    </w:p>
    <w:p>
      <w:pPr>
        <w:spacing w:line="360" w:lineRule="auto"/>
        <w:rPr>
          <w:rFonts w:ascii="宋体" w:hAnsi="宋体" w:cs="宋体"/>
          <w:sz w:val="24"/>
          <w:szCs w:val="24"/>
        </w:rPr>
      </w:pPr>
    </w:p>
    <w:p>
      <w:pPr>
        <w:spacing w:line="360" w:lineRule="auto"/>
        <w:rPr>
          <w:rFonts w:ascii="宋体" w:hAnsi="宋体" w:cs="宋体"/>
          <w:color w:val="000000"/>
          <w:szCs w:val="21"/>
        </w:rPr>
      </w:pPr>
      <w:r>
        <w:rPr>
          <w:rFonts w:hint="eastAsia" w:ascii="宋体" w:hAnsi="宋体" w:cs="宋体"/>
          <w:color w:val="000000"/>
          <w:szCs w:val="21"/>
        </w:rPr>
        <w:t>供应商</w:t>
      </w:r>
      <w:r>
        <w:rPr>
          <w:rFonts w:hint="eastAsia" w:ascii="宋体" w:hAnsi="宋体" w:cs="宋体"/>
          <w:szCs w:val="21"/>
        </w:rPr>
        <w:t>名称（公章）：</w:t>
      </w:r>
    </w:p>
    <w:p>
      <w:pPr>
        <w:spacing w:line="360" w:lineRule="auto"/>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auto"/>
        <w:rPr>
          <w:rFonts w:ascii="宋体" w:hAnsi="宋体" w:cs="宋体"/>
          <w:b/>
          <w:sz w:val="28"/>
          <w:szCs w:val="28"/>
        </w:rPr>
      </w:pPr>
      <w:r>
        <w:rPr>
          <w:rFonts w:hint="eastAsia" w:ascii="宋体" w:hAnsi="宋体" w:cs="宋体"/>
          <w:color w:val="000000"/>
          <w:szCs w:val="21"/>
        </w:rPr>
        <w:t>日期：      年    月    日</w:t>
      </w:r>
      <w:r>
        <w:rPr>
          <w:rFonts w:hint="eastAsia" w:ascii="宋体" w:hAnsi="宋体" w:cs="宋体"/>
          <w:b/>
          <w:sz w:val="28"/>
          <w:szCs w:val="28"/>
        </w:rPr>
        <w:br w:type="page"/>
      </w:r>
    </w:p>
    <w:p>
      <w:pPr>
        <w:spacing w:line="360" w:lineRule="auto"/>
        <w:rPr>
          <w:rFonts w:ascii="宋体" w:hAnsi="宋体" w:cs="宋体"/>
          <w:b/>
          <w:sz w:val="28"/>
          <w:szCs w:val="28"/>
        </w:rPr>
      </w:pPr>
      <w:r>
        <w:rPr>
          <w:rFonts w:hint="eastAsia" w:ascii="宋体" w:hAnsi="宋体" w:cs="宋体"/>
          <w:b/>
          <w:sz w:val="28"/>
          <w:szCs w:val="28"/>
        </w:rPr>
        <w:t>10.企业声明函</w:t>
      </w:r>
    </w:p>
    <w:p>
      <w:pPr>
        <w:spacing w:line="360" w:lineRule="auto"/>
        <w:jc w:val="center"/>
        <w:rPr>
          <w:rFonts w:ascii="宋体" w:hAnsi="宋体" w:cs="宋体"/>
          <w:b/>
          <w:sz w:val="28"/>
          <w:szCs w:val="28"/>
        </w:rPr>
      </w:pPr>
      <w:r>
        <w:rPr>
          <w:rFonts w:hint="eastAsia" w:ascii="宋体" w:hAnsi="宋体" w:cs="宋体"/>
          <w:b/>
          <w:sz w:val="28"/>
          <w:szCs w:val="28"/>
        </w:rPr>
        <w:t>中小企业声明函（服务）</w:t>
      </w:r>
    </w:p>
    <w:p>
      <w:pPr>
        <w:spacing w:line="360" w:lineRule="auto"/>
        <w:ind w:firstLine="420" w:firstLineChars="200"/>
        <w:rPr>
          <w:rFonts w:ascii="宋体" w:hAnsi="宋体" w:cs="宋体"/>
          <w:kern w:val="0"/>
          <w:szCs w:val="21"/>
        </w:rPr>
      </w:pPr>
      <w:r>
        <w:rPr>
          <w:rFonts w:hint="eastAsia" w:ascii="宋体" w:hAnsi="宋体" w:cs="宋体"/>
          <w:color w:val="333333"/>
          <w:kern w:val="0"/>
          <w:szCs w:val="21"/>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w:t>
      </w:r>
      <w:r>
        <w:rPr>
          <w:rFonts w:hint="eastAsia" w:ascii="宋体" w:hAnsi="宋体" w:cs="宋体"/>
          <w:kern w:val="0"/>
          <w:szCs w:val="21"/>
        </w:rPr>
        <w:t>的中小企业、签订分包意向协议的中小企业）的具体情况如下：</w:t>
      </w:r>
    </w:p>
    <w:p>
      <w:pPr>
        <w:spacing w:line="360" w:lineRule="auto"/>
        <w:ind w:firstLine="420" w:firstLineChars="200"/>
        <w:rPr>
          <w:rFonts w:ascii="宋体" w:hAnsi="宋体" w:cs="宋体"/>
          <w:kern w:val="0"/>
          <w:szCs w:val="21"/>
        </w:rPr>
      </w:pPr>
      <w:r>
        <w:rPr>
          <w:rFonts w:hint="eastAsia" w:ascii="宋体" w:hAnsi="宋体" w:cs="宋体"/>
          <w:kern w:val="0"/>
          <w:szCs w:val="21"/>
        </w:rPr>
        <w:t>1.（标的名称），属于</w:t>
      </w:r>
      <w:r>
        <w:rPr>
          <w:rFonts w:hint="eastAsia" w:ascii="宋体" w:hAnsi="宋体" w:cs="宋体"/>
          <w:spacing w:val="6"/>
          <w:szCs w:val="21"/>
          <w:u w:val="single"/>
        </w:rPr>
        <w:t>（采购文件中明确的所属行业）</w:t>
      </w:r>
      <w:r>
        <w:rPr>
          <w:rFonts w:hint="eastAsia" w:ascii="宋体" w:hAnsi="宋体" w:cs="宋体"/>
          <w:kern w:val="0"/>
          <w:szCs w:val="21"/>
        </w:rPr>
        <w:t>； 承建（承接）企业为（企业名称），从业人员</w:t>
      </w:r>
      <w:r>
        <w:rPr>
          <w:rFonts w:hint="eastAsia" w:ascii="宋体" w:hAnsi="宋体" w:cs="宋体"/>
          <w:kern w:val="0"/>
          <w:szCs w:val="21"/>
          <w:u w:val="single"/>
        </w:rPr>
        <w:t xml:space="preserve">     </w:t>
      </w:r>
      <w:r>
        <w:rPr>
          <w:rFonts w:hint="eastAsia" w:ascii="宋体" w:hAnsi="宋体" w:cs="宋体"/>
          <w:kern w:val="0"/>
          <w:szCs w:val="21"/>
        </w:rPr>
        <w:t>人，营业收入为</w:t>
      </w:r>
      <w:r>
        <w:rPr>
          <w:rFonts w:hint="eastAsia" w:ascii="宋体" w:hAnsi="宋体" w:cs="宋体"/>
          <w:kern w:val="0"/>
          <w:szCs w:val="21"/>
          <w:u w:val="single"/>
        </w:rPr>
        <w:t xml:space="preserve">     </w:t>
      </w:r>
      <w:r>
        <w:rPr>
          <w:rFonts w:hint="eastAsia" w:ascii="宋体" w:hAnsi="宋体" w:cs="宋体"/>
          <w:kern w:val="0"/>
          <w:szCs w:val="21"/>
        </w:rPr>
        <w:t xml:space="preserve">万元，资产总额为 </w:t>
      </w:r>
      <w:r>
        <w:rPr>
          <w:rFonts w:hint="eastAsia" w:ascii="宋体" w:hAnsi="宋体" w:cs="宋体"/>
          <w:kern w:val="0"/>
          <w:szCs w:val="21"/>
          <w:u w:val="single"/>
        </w:rPr>
        <w:t xml:space="preserve">    </w:t>
      </w:r>
      <w:r>
        <w:rPr>
          <w:rFonts w:hint="eastAsia" w:ascii="宋体" w:hAnsi="宋体" w:cs="宋体"/>
          <w:kern w:val="0"/>
          <w:szCs w:val="21"/>
        </w:rPr>
        <w:t xml:space="preserve">万元，属于（中型企业、小型企业、微型企业）； </w:t>
      </w:r>
    </w:p>
    <w:p>
      <w:pPr>
        <w:spacing w:line="360" w:lineRule="auto"/>
        <w:ind w:firstLine="420" w:firstLineChars="200"/>
        <w:rPr>
          <w:rFonts w:ascii="宋体" w:hAnsi="宋体" w:cs="宋体"/>
          <w:color w:val="333333"/>
          <w:kern w:val="0"/>
          <w:szCs w:val="21"/>
        </w:rPr>
      </w:pPr>
      <w:r>
        <w:rPr>
          <w:rFonts w:hint="eastAsia" w:ascii="宋体" w:hAnsi="宋体" w:cs="宋体"/>
          <w:kern w:val="0"/>
          <w:szCs w:val="21"/>
        </w:rPr>
        <w:t>2.（标的名称），属于</w:t>
      </w:r>
      <w:r>
        <w:rPr>
          <w:rFonts w:hint="eastAsia" w:ascii="宋体" w:hAnsi="宋体" w:cs="宋体"/>
          <w:spacing w:val="6"/>
          <w:szCs w:val="21"/>
          <w:u w:val="single"/>
        </w:rPr>
        <w:t>（采购文件中明确的所属行业）</w:t>
      </w:r>
      <w:r>
        <w:rPr>
          <w:rFonts w:hint="eastAsia" w:ascii="宋体" w:hAnsi="宋体" w:cs="宋体"/>
          <w:kern w:val="0"/>
          <w:szCs w:val="21"/>
        </w:rPr>
        <w:t>； 承建（承接）企业为（企业名称），从业人员</w:t>
      </w:r>
      <w:r>
        <w:rPr>
          <w:rFonts w:hint="eastAsia" w:ascii="宋体" w:hAnsi="宋体" w:cs="宋体"/>
          <w:kern w:val="0"/>
          <w:szCs w:val="21"/>
          <w:u w:val="single"/>
        </w:rPr>
        <w:t xml:space="preserve">    </w:t>
      </w:r>
      <w:r>
        <w:rPr>
          <w:rFonts w:hint="eastAsia" w:ascii="宋体" w:hAnsi="宋体" w:cs="宋体"/>
          <w:kern w:val="0"/>
          <w:szCs w:val="21"/>
        </w:rPr>
        <w:t>人，营业收入为</w:t>
      </w:r>
      <w:r>
        <w:rPr>
          <w:rFonts w:hint="eastAsia" w:ascii="宋体" w:hAnsi="宋体" w:cs="宋体"/>
          <w:kern w:val="0"/>
          <w:szCs w:val="21"/>
          <w:u w:val="single"/>
        </w:rPr>
        <w:t xml:space="preserve">    </w:t>
      </w:r>
      <w:r>
        <w:rPr>
          <w:rFonts w:hint="eastAsia" w:ascii="宋体" w:hAnsi="宋体" w:cs="宋体"/>
          <w:kern w:val="0"/>
          <w:szCs w:val="21"/>
        </w:rPr>
        <w:t>万元，资产总额为</w:t>
      </w:r>
      <w:r>
        <w:rPr>
          <w:rFonts w:hint="eastAsia" w:ascii="宋体" w:hAnsi="宋体" w:cs="宋体"/>
          <w:kern w:val="0"/>
          <w:szCs w:val="21"/>
          <w:u w:val="single"/>
        </w:rPr>
        <w:t xml:space="preserve">   </w:t>
      </w:r>
      <w:r>
        <w:rPr>
          <w:rFonts w:hint="eastAsia" w:ascii="宋体" w:hAnsi="宋体" w:cs="宋体"/>
          <w:color w:val="333333"/>
          <w:kern w:val="0"/>
          <w:szCs w:val="21"/>
        </w:rPr>
        <w:t xml:space="preserve">万元，属于（中型企业、小型企业、微型企业）； </w:t>
      </w:r>
    </w:p>
    <w:p>
      <w:pPr>
        <w:spacing w:line="360" w:lineRule="auto"/>
        <w:ind w:firstLine="420" w:firstLineChars="200"/>
        <w:rPr>
          <w:rFonts w:ascii="宋体" w:hAnsi="宋体" w:cs="宋体"/>
          <w:color w:val="333333"/>
          <w:kern w:val="0"/>
          <w:szCs w:val="21"/>
        </w:rPr>
      </w:pPr>
      <w:r>
        <w:rPr>
          <w:rFonts w:hint="eastAsia" w:ascii="宋体" w:hAnsi="宋体" w:cs="宋体"/>
          <w:color w:val="333333"/>
          <w:kern w:val="0"/>
          <w:szCs w:val="21"/>
        </w:rPr>
        <w:t xml:space="preserve">…… </w:t>
      </w:r>
    </w:p>
    <w:p>
      <w:pPr>
        <w:spacing w:line="360" w:lineRule="auto"/>
        <w:ind w:firstLine="420" w:firstLineChars="200"/>
        <w:rPr>
          <w:rFonts w:ascii="宋体" w:hAnsi="宋体" w:cs="宋体"/>
          <w:color w:val="333333"/>
          <w:kern w:val="0"/>
          <w:szCs w:val="21"/>
        </w:rPr>
      </w:pPr>
      <w:r>
        <w:rPr>
          <w:rFonts w:hint="eastAsia" w:ascii="宋体" w:hAnsi="宋体" w:cs="宋体"/>
          <w:color w:val="333333"/>
          <w:kern w:val="0"/>
          <w:szCs w:val="21"/>
        </w:rPr>
        <w:t xml:space="preserve">以上企业，不属于大企业的分支机构，不存在控股股东为大企业的情形，也不存在与大企业的负责人为同一人的情形。 </w:t>
      </w:r>
    </w:p>
    <w:p>
      <w:pPr>
        <w:spacing w:line="360" w:lineRule="auto"/>
        <w:ind w:firstLine="420" w:firstLineChars="200"/>
        <w:rPr>
          <w:rFonts w:ascii="宋体" w:hAnsi="宋体" w:cs="宋体"/>
          <w:color w:val="333333"/>
          <w:kern w:val="0"/>
          <w:szCs w:val="21"/>
        </w:rPr>
      </w:pPr>
      <w:r>
        <w:rPr>
          <w:rFonts w:hint="eastAsia" w:ascii="宋体" w:hAnsi="宋体" w:cs="宋体"/>
          <w:color w:val="333333"/>
          <w:kern w:val="0"/>
          <w:szCs w:val="21"/>
        </w:rPr>
        <w:t xml:space="preserve">本企业对上述声明内容的真实性负责。如有虚假，将依法承担相应责任。 </w:t>
      </w:r>
    </w:p>
    <w:p>
      <w:pPr>
        <w:spacing w:line="360" w:lineRule="auto"/>
        <w:ind w:firstLine="420" w:firstLineChars="200"/>
        <w:rPr>
          <w:rFonts w:ascii="宋体" w:hAnsi="宋体" w:cs="宋体"/>
          <w:color w:val="333333"/>
          <w:kern w:val="0"/>
          <w:szCs w:val="21"/>
        </w:rPr>
      </w:pPr>
    </w:p>
    <w:p>
      <w:pPr>
        <w:spacing w:line="360" w:lineRule="auto"/>
        <w:ind w:firstLine="420" w:firstLineChars="200"/>
        <w:rPr>
          <w:rFonts w:ascii="宋体" w:hAnsi="宋体" w:cs="宋体"/>
          <w:color w:val="333333"/>
          <w:kern w:val="0"/>
          <w:szCs w:val="21"/>
        </w:rPr>
      </w:pPr>
    </w:p>
    <w:p>
      <w:pPr>
        <w:spacing w:line="360" w:lineRule="auto"/>
        <w:ind w:firstLine="420" w:firstLineChars="200"/>
        <w:jc w:val="center"/>
        <w:rPr>
          <w:rFonts w:ascii="宋体" w:hAnsi="宋体" w:cs="宋体"/>
          <w:color w:val="333333"/>
          <w:kern w:val="0"/>
          <w:szCs w:val="21"/>
          <w:u w:val="single"/>
        </w:rPr>
      </w:pPr>
      <w:r>
        <w:rPr>
          <w:rFonts w:hint="eastAsia" w:ascii="宋体" w:hAnsi="宋体" w:cs="宋体"/>
          <w:color w:val="333333"/>
          <w:kern w:val="0"/>
          <w:szCs w:val="21"/>
        </w:rPr>
        <w:t>企业名称（盖章）：</w:t>
      </w:r>
      <w:r>
        <w:rPr>
          <w:rFonts w:hint="eastAsia" w:ascii="宋体" w:hAnsi="宋体" w:cs="宋体"/>
          <w:color w:val="333333"/>
          <w:kern w:val="0"/>
          <w:szCs w:val="21"/>
          <w:u w:val="single"/>
        </w:rPr>
        <w:t xml:space="preserve">                </w:t>
      </w:r>
    </w:p>
    <w:p>
      <w:pPr>
        <w:spacing w:line="360" w:lineRule="auto"/>
        <w:ind w:firstLine="4410" w:firstLineChars="2100"/>
        <w:rPr>
          <w:rFonts w:ascii="宋体" w:hAnsi="宋体" w:cs="宋体"/>
          <w:color w:val="333333"/>
          <w:kern w:val="0"/>
          <w:szCs w:val="21"/>
          <w:u w:val="single"/>
        </w:rPr>
      </w:pPr>
      <w:r>
        <w:rPr>
          <w:rFonts w:hint="eastAsia" w:ascii="宋体" w:hAnsi="宋体" w:cs="宋体"/>
          <w:color w:val="333333"/>
          <w:kern w:val="0"/>
          <w:szCs w:val="21"/>
        </w:rPr>
        <w:t xml:space="preserve">日  期： </w:t>
      </w:r>
      <w:r>
        <w:rPr>
          <w:rFonts w:hint="eastAsia" w:ascii="宋体" w:hAnsi="宋体" w:cs="宋体"/>
          <w:color w:val="333333"/>
          <w:kern w:val="0"/>
          <w:szCs w:val="21"/>
          <w:u w:val="single"/>
        </w:rPr>
        <w:t xml:space="preserve">                </w:t>
      </w:r>
    </w:p>
    <w:p>
      <w:pPr>
        <w:pStyle w:val="10"/>
      </w:pPr>
    </w:p>
    <w:p>
      <w:pPr>
        <w:spacing w:line="360" w:lineRule="auto"/>
        <w:ind w:firstLine="420" w:firstLineChars="200"/>
        <w:rPr>
          <w:rFonts w:ascii="宋体" w:hAnsi="宋体" w:cs="宋体"/>
          <w:color w:val="333333"/>
          <w:kern w:val="0"/>
          <w:szCs w:val="21"/>
        </w:rPr>
      </w:pPr>
      <w:r>
        <w:rPr>
          <w:rFonts w:hint="eastAsia" w:ascii="宋体" w:hAnsi="宋体" w:cs="宋体"/>
          <w:color w:val="333333"/>
          <w:kern w:val="0"/>
          <w:szCs w:val="21"/>
        </w:rPr>
        <w:t xml:space="preserve">注：1.从业人员、营业收入、资产总额填报上一年度数据，无上一年度数据的新成立企业可不填报。 </w:t>
      </w:r>
    </w:p>
    <w:p>
      <w:pPr>
        <w:spacing w:line="360" w:lineRule="auto"/>
        <w:ind w:firstLine="210" w:firstLineChars="100"/>
        <w:rPr>
          <w:rFonts w:ascii="宋体" w:hAnsi="宋体" w:cs="宋体"/>
          <w:szCs w:val="21"/>
        </w:rPr>
      </w:pPr>
      <w:r>
        <w:rPr>
          <w:rFonts w:hint="eastAsia" w:ascii="宋体" w:hAnsi="宋体" w:cs="宋体"/>
          <w:szCs w:val="21"/>
        </w:rPr>
        <w:t xml:space="preserve">  2.供应商如属于以上情形的请提供。如不提供此声明函的，价格将不做相应扣除。</w:t>
      </w:r>
    </w:p>
    <w:p>
      <w:pPr>
        <w:spacing w:line="360" w:lineRule="auto"/>
        <w:rPr>
          <w:rFonts w:ascii="宋体" w:hAnsi="宋体" w:cs="宋体"/>
          <w:b/>
          <w:sz w:val="32"/>
          <w:szCs w:val="32"/>
        </w:rPr>
      </w:pPr>
    </w:p>
    <w:p>
      <w:pPr>
        <w:spacing w:line="360" w:lineRule="auto"/>
        <w:rPr>
          <w:rFonts w:ascii="宋体" w:hAnsi="宋体" w:cs="宋体"/>
          <w:b/>
          <w:color w:val="FF0000"/>
          <w:sz w:val="28"/>
          <w:szCs w:val="28"/>
        </w:rPr>
      </w:pPr>
    </w:p>
    <w:p>
      <w:pPr>
        <w:pStyle w:val="10"/>
        <w:spacing w:line="360" w:lineRule="auto"/>
        <w:rPr>
          <w:rFonts w:ascii="宋体" w:hAnsi="宋体" w:cs="宋体"/>
          <w:b/>
          <w:color w:val="FF0000"/>
          <w:sz w:val="28"/>
          <w:szCs w:val="28"/>
        </w:rPr>
      </w:pPr>
    </w:p>
    <w:p>
      <w:pPr>
        <w:widowControl/>
        <w:spacing w:line="360" w:lineRule="auto"/>
        <w:rPr>
          <w:rFonts w:ascii="宋体" w:hAnsi="宋体" w:cs="宋体"/>
        </w:rPr>
      </w:pPr>
    </w:p>
    <w:sectPr>
      <w:headerReference r:id="rId8" w:type="default"/>
      <w:footerReference r:id="rId9" w:type="default"/>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entury">
    <w:altName w:val="Times New Roman"/>
    <w:panose1 w:val="02040604050505020304"/>
    <w:charset w:val="00"/>
    <w:family w:val="roman"/>
    <w:pitch w:val="default"/>
    <w:sig w:usb0="00000000"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8306"/>
        <w:tab w:val="clear" w:pos="8307"/>
      </w:tabs>
      <w:jc w:val="center"/>
      <w:rPr>
        <w:rFonts w:ascii="楷体_GB2312" w:hAnsi="楷体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25</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36</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3"/>
      </w:rPr>
    </w:pPr>
    <w:r>
      <w:fldChar w:fldCharType="begin"/>
    </w:r>
    <w:r>
      <w:rPr>
        <w:rStyle w:val="53"/>
      </w:rPr>
      <w:instrText xml:space="preserve">PAGE  </w:instrText>
    </w:r>
    <w: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right" w:pos="8306"/>
        <w:tab w:val="clear" w:pos="8307"/>
      </w:tabs>
      <w:jc w:val="center"/>
      <w:rPr>
        <w:rFonts w:ascii="楷体_GB2312" w:hAnsi="楷体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35</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35</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right" w:pos="8306"/>
        <w:tab w:val="clear" w:pos="8307"/>
      </w:tabs>
      <w:jc w:val="right"/>
    </w:pPr>
    <w:r>
      <w:rPr>
        <w:rFonts w:hint="eastAsia"/>
      </w:rPr>
      <w:t>江苏畅誉项目管理</w:t>
    </w:r>
    <w:r>
      <w:t>有限公司</w:t>
    </w:r>
    <w:r>
      <w:rPr>
        <w:rFonts w:hint="eastAsia"/>
      </w:rPr>
      <w:t>竞争性磋商</w:t>
    </w:r>
    <w: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drawing>
        <wp:anchor distT="0" distB="0" distL="114300" distR="114300" simplePos="0" relativeHeight="251665408" behindDoc="1" locked="0" layoutInCell="0" allowOverlap="1">
          <wp:simplePos x="0" y="0"/>
          <wp:positionH relativeFrom="margin">
            <wp:align>center</wp:align>
          </wp:positionH>
          <wp:positionV relativeFrom="margin">
            <wp:align>center</wp:align>
          </wp:positionV>
          <wp:extent cx="5401310" cy="5401310"/>
          <wp:effectExtent l="0" t="0" r="8890" b="8890"/>
          <wp:wrapNone/>
          <wp:docPr id="23"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401310" cy="5401310"/>
          <wp:effectExtent l="0" t="0" r="8890" b="8890"/>
          <wp:wrapNone/>
          <wp:docPr id="22"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right" w:pos="8306"/>
        <w:tab w:val="clear" w:pos="8307"/>
      </w:tabs>
      <w:jc w:val="right"/>
    </w:pPr>
    <w:r>
      <w:rPr>
        <w:rFonts w:hint="eastAsia"/>
      </w:rPr>
      <w:t>江苏畅誉项目管理</w:t>
    </w:r>
    <w:r>
      <w:t>有限公司</w:t>
    </w:r>
    <w:r>
      <w:rPr>
        <w:rFonts w:hint="eastAsia"/>
      </w:rPr>
      <w:t>竞争性磋商</w:t>
    </w:r>
    <w: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C680E5"/>
    <w:multiLevelType w:val="singleLevel"/>
    <w:tmpl w:val="A2C680E5"/>
    <w:lvl w:ilvl="0" w:tentative="0">
      <w:start w:val="4"/>
      <w:numFmt w:val="chineseCounting"/>
      <w:suff w:val="space"/>
      <w:lvlText w:val="第%1章"/>
      <w:lvlJc w:val="left"/>
      <w:rPr>
        <w:rFonts w:hint="eastAsia"/>
      </w:rPr>
    </w:lvl>
  </w:abstractNum>
  <w:abstractNum w:abstractNumId="1">
    <w:nsid w:val="A7914A7A"/>
    <w:multiLevelType w:val="singleLevel"/>
    <w:tmpl w:val="A7914A7A"/>
    <w:lvl w:ilvl="0" w:tentative="0">
      <w:start w:val="5"/>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2Y2E5MzFmYWM5OTQzY2QzZDhlY2Y3YzI3MzE5OGMifQ=="/>
  </w:docVars>
  <w:rsids>
    <w:rsidRoot w:val="00E937CE"/>
    <w:rsid w:val="0000020E"/>
    <w:rsid w:val="0000087D"/>
    <w:rsid w:val="000062CC"/>
    <w:rsid w:val="00010F5E"/>
    <w:rsid w:val="00011BA4"/>
    <w:rsid w:val="00011D53"/>
    <w:rsid w:val="00013E93"/>
    <w:rsid w:val="0001465B"/>
    <w:rsid w:val="00014697"/>
    <w:rsid w:val="00015726"/>
    <w:rsid w:val="00016174"/>
    <w:rsid w:val="00020871"/>
    <w:rsid w:val="00021A28"/>
    <w:rsid w:val="000223FC"/>
    <w:rsid w:val="000237EB"/>
    <w:rsid w:val="00025AD8"/>
    <w:rsid w:val="00026B65"/>
    <w:rsid w:val="00027113"/>
    <w:rsid w:val="000309E8"/>
    <w:rsid w:val="000400AF"/>
    <w:rsid w:val="000401EB"/>
    <w:rsid w:val="0004175C"/>
    <w:rsid w:val="00043F2D"/>
    <w:rsid w:val="00052763"/>
    <w:rsid w:val="0005295F"/>
    <w:rsid w:val="00052D7C"/>
    <w:rsid w:val="000530A2"/>
    <w:rsid w:val="0005783A"/>
    <w:rsid w:val="0006059F"/>
    <w:rsid w:val="00060771"/>
    <w:rsid w:val="00061F14"/>
    <w:rsid w:val="00074403"/>
    <w:rsid w:val="00074642"/>
    <w:rsid w:val="00074A8C"/>
    <w:rsid w:val="000773BD"/>
    <w:rsid w:val="00077B8F"/>
    <w:rsid w:val="00080D25"/>
    <w:rsid w:val="0008162C"/>
    <w:rsid w:val="00082FBD"/>
    <w:rsid w:val="00086B32"/>
    <w:rsid w:val="00091073"/>
    <w:rsid w:val="00094183"/>
    <w:rsid w:val="00094B97"/>
    <w:rsid w:val="00096808"/>
    <w:rsid w:val="000A2CB2"/>
    <w:rsid w:val="000A3A33"/>
    <w:rsid w:val="000A46C6"/>
    <w:rsid w:val="000B2C29"/>
    <w:rsid w:val="000B4D5F"/>
    <w:rsid w:val="000C3581"/>
    <w:rsid w:val="000C649D"/>
    <w:rsid w:val="000D25CF"/>
    <w:rsid w:val="000D3694"/>
    <w:rsid w:val="000D3930"/>
    <w:rsid w:val="000D7DF9"/>
    <w:rsid w:val="000E43AC"/>
    <w:rsid w:val="000E5F5A"/>
    <w:rsid w:val="000F5B78"/>
    <w:rsid w:val="000F75F5"/>
    <w:rsid w:val="00101B0F"/>
    <w:rsid w:val="00103D1A"/>
    <w:rsid w:val="0011051D"/>
    <w:rsid w:val="00110C86"/>
    <w:rsid w:val="00111BE9"/>
    <w:rsid w:val="001132EE"/>
    <w:rsid w:val="00113BC7"/>
    <w:rsid w:val="00114EE7"/>
    <w:rsid w:val="00121D1D"/>
    <w:rsid w:val="001260CA"/>
    <w:rsid w:val="001306E3"/>
    <w:rsid w:val="0014220C"/>
    <w:rsid w:val="00142315"/>
    <w:rsid w:val="00155A44"/>
    <w:rsid w:val="00166978"/>
    <w:rsid w:val="001673E7"/>
    <w:rsid w:val="00167974"/>
    <w:rsid w:val="00167E08"/>
    <w:rsid w:val="001718A3"/>
    <w:rsid w:val="00171A88"/>
    <w:rsid w:val="00172903"/>
    <w:rsid w:val="00172EAC"/>
    <w:rsid w:val="0017352F"/>
    <w:rsid w:val="00177845"/>
    <w:rsid w:val="001842F4"/>
    <w:rsid w:val="00193673"/>
    <w:rsid w:val="00197043"/>
    <w:rsid w:val="00197081"/>
    <w:rsid w:val="00197C36"/>
    <w:rsid w:val="001A0A97"/>
    <w:rsid w:val="001A280E"/>
    <w:rsid w:val="001B14C8"/>
    <w:rsid w:val="001B19F7"/>
    <w:rsid w:val="001C3A68"/>
    <w:rsid w:val="001C74E6"/>
    <w:rsid w:val="001C764D"/>
    <w:rsid w:val="001D450E"/>
    <w:rsid w:val="001D7A92"/>
    <w:rsid w:val="001D7DD3"/>
    <w:rsid w:val="001E0EEA"/>
    <w:rsid w:val="001E2FEF"/>
    <w:rsid w:val="001E391E"/>
    <w:rsid w:val="001E3C4A"/>
    <w:rsid w:val="001E47DC"/>
    <w:rsid w:val="001F14FA"/>
    <w:rsid w:val="001F1C79"/>
    <w:rsid w:val="001F6B74"/>
    <w:rsid w:val="002023D2"/>
    <w:rsid w:val="00202527"/>
    <w:rsid w:val="002072DF"/>
    <w:rsid w:val="0022129E"/>
    <w:rsid w:val="00232AF7"/>
    <w:rsid w:val="0023309A"/>
    <w:rsid w:val="002368E4"/>
    <w:rsid w:val="00241F79"/>
    <w:rsid w:val="00247710"/>
    <w:rsid w:val="00261A56"/>
    <w:rsid w:val="0026338C"/>
    <w:rsid w:val="00266CFA"/>
    <w:rsid w:val="00267669"/>
    <w:rsid w:val="0026769E"/>
    <w:rsid w:val="002719FF"/>
    <w:rsid w:val="00271FF1"/>
    <w:rsid w:val="0027283D"/>
    <w:rsid w:val="00273D4E"/>
    <w:rsid w:val="0027765F"/>
    <w:rsid w:val="00277E06"/>
    <w:rsid w:val="00284DA7"/>
    <w:rsid w:val="00294E3A"/>
    <w:rsid w:val="002A6B32"/>
    <w:rsid w:val="002C484D"/>
    <w:rsid w:val="002D1E5D"/>
    <w:rsid w:val="002D6116"/>
    <w:rsid w:val="002E0296"/>
    <w:rsid w:val="002F1EB1"/>
    <w:rsid w:val="002F220D"/>
    <w:rsid w:val="002F3E3D"/>
    <w:rsid w:val="002F61FB"/>
    <w:rsid w:val="002F6774"/>
    <w:rsid w:val="00301F53"/>
    <w:rsid w:val="00303C56"/>
    <w:rsid w:val="00306414"/>
    <w:rsid w:val="003067BC"/>
    <w:rsid w:val="00306CBD"/>
    <w:rsid w:val="00314DAB"/>
    <w:rsid w:val="0032111D"/>
    <w:rsid w:val="003221C2"/>
    <w:rsid w:val="00324022"/>
    <w:rsid w:val="00324A9A"/>
    <w:rsid w:val="00327DB0"/>
    <w:rsid w:val="00333A63"/>
    <w:rsid w:val="00333E17"/>
    <w:rsid w:val="00334015"/>
    <w:rsid w:val="003361C6"/>
    <w:rsid w:val="00340031"/>
    <w:rsid w:val="0034261A"/>
    <w:rsid w:val="00345DA0"/>
    <w:rsid w:val="00347E49"/>
    <w:rsid w:val="003513FF"/>
    <w:rsid w:val="0035675A"/>
    <w:rsid w:val="00360D50"/>
    <w:rsid w:val="0036786B"/>
    <w:rsid w:val="003714F9"/>
    <w:rsid w:val="0037441D"/>
    <w:rsid w:val="00374525"/>
    <w:rsid w:val="00380D7A"/>
    <w:rsid w:val="0038612A"/>
    <w:rsid w:val="003911D9"/>
    <w:rsid w:val="0039207C"/>
    <w:rsid w:val="0039247B"/>
    <w:rsid w:val="00393019"/>
    <w:rsid w:val="00393771"/>
    <w:rsid w:val="003943D6"/>
    <w:rsid w:val="00394D9C"/>
    <w:rsid w:val="003A1026"/>
    <w:rsid w:val="003B18FB"/>
    <w:rsid w:val="003B7968"/>
    <w:rsid w:val="003C2855"/>
    <w:rsid w:val="003C4CB7"/>
    <w:rsid w:val="003D201F"/>
    <w:rsid w:val="003D7FEA"/>
    <w:rsid w:val="003E2BA7"/>
    <w:rsid w:val="003F446E"/>
    <w:rsid w:val="003F6B8C"/>
    <w:rsid w:val="0040022F"/>
    <w:rsid w:val="004009F5"/>
    <w:rsid w:val="004054BD"/>
    <w:rsid w:val="00410BF4"/>
    <w:rsid w:val="0041101E"/>
    <w:rsid w:val="004120F2"/>
    <w:rsid w:val="00412B18"/>
    <w:rsid w:val="004137F3"/>
    <w:rsid w:val="0041439B"/>
    <w:rsid w:val="0041456D"/>
    <w:rsid w:val="00414FF4"/>
    <w:rsid w:val="00415602"/>
    <w:rsid w:val="00417A79"/>
    <w:rsid w:val="00417C25"/>
    <w:rsid w:val="0042030E"/>
    <w:rsid w:val="0042044F"/>
    <w:rsid w:val="00426F8F"/>
    <w:rsid w:val="00427FA8"/>
    <w:rsid w:val="00430F9F"/>
    <w:rsid w:val="004325C7"/>
    <w:rsid w:val="00432E72"/>
    <w:rsid w:val="00440396"/>
    <w:rsid w:val="00442648"/>
    <w:rsid w:val="0044448A"/>
    <w:rsid w:val="00450C37"/>
    <w:rsid w:val="00451792"/>
    <w:rsid w:val="00451D36"/>
    <w:rsid w:val="0045338C"/>
    <w:rsid w:val="00454B03"/>
    <w:rsid w:val="00455054"/>
    <w:rsid w:val="00460D7E"/>
    <w:rsid w:val="0047598B"/>
    <w:rsid w:val="00481FCC"/>
    <w:rsid w:val="004853EF"/>
    <w:rsid w:val="00486911"/>
    <w:rsid w:val="00490E88"/>
    <w:rsid w:val="0049562B"/>
    <w:rsid w:val="004A0DE3"/>
    <w:rsid w:val="004A2F9B"/>
    <w:rsid w:val="004A7C9A"/>
    <w:rsid w:val="004B5787"/>
    <w:rsid w:val="004B6EDE"/>
    <w:rsid w:val="004B756D"/>
    <w:rsid w:val="004C33B9"/>
    <w:rsid w:val="004C43D2"/>
    <w:rsid w:val="004C6EA5"/>
    <w:rsid w:val="004D5780"/>
    <w:rsid w:val="004E6E68"/>
    <w:rsid w:val="004E6EF8"/>
    <w:rsid w:val="004F27A1"/>
    <w:rsid w:val="004F4E90"/>
    <w:rsid w:val="004F544B"/>
    <w:rsid w:val="0050057D"/>
    <w:rsid w:val="005058A3"/>
    <w:rsid w:val="00511965"/>
    <w:rsid w:val="005174B7"/>
    <w:rsid w:val="0052549D"/>
    <w:rsid w:val="005368C7"/>
    <w:rsid w:val="00540835"/>
    <w:rsid w:val="005438AE"/>
    <w:rsid w:val="00545C0A"/>
    <w:rsid w:val="0054726A"/>
    <w:rsid w:val="005541D4"/>
    <w:rsid w:val="005547E2"/>
    <w:rsid w:val="005549B5"/>
    <w:rsid w:val="00556099"/>
    <w:rsid w:val="00556514"/>
    <w:rsid w:val="005643A2"/>
    <w:rsid w:val="00571084"/>
    <w:rsid w:val="005718F3"/>
    <w:rsid w:val="00571CB0"/>
    <w:rsid w:val="00574D38"/>
    <w:rsid w:val="005756EF"/>
    <w:rsid w:val="0057623B"/>
    <w:rsid w:val="0057795C"/>
    <w:rsid w:val="00583DCA"/>
    <w:rsid w:val="005866EE"/>
    <w:rsid w:val="005908EB"/>
    <w:rsid w:val="00590EB4"/>
    <w:rsid w:val="00593FC3"/>
    <w:rsid w:val="005959ED"/>
    <w:rsid w:val="005B043C"/>
    <w:rsid w:val="005B25B5"/>
    <w:rsid w:val="005B2C04"/>
    <w:rsid w:val="005B4DD9"/>
    <w:rsid w:val="005B5784"/>
    <w:rsid w:val="005C1399"/>
    <w:rsid w:val="005C2F13"/>
    <w:rsid w:val="005E0DF2"/>
    <w:rsid w:val="005E777C"/>
    <w:rsid w:val="005F302E"/>
    <w:rsid w:val="005F54C8"/>
    <w:rsid w:val="005F69A3"/>
    <w:rsid w:val="005F6BB0"/>
    <w:rsid w:val="005F7930"/>
    <w:rsid w:val="0060158F"/>
    <w:rsid w:val="00601A32"/>
    <w:rsid w:val="00604050"/>
    <w:rsid w:val="006042E9"/>
    <w:rsid w:val="006074CE"/>
    <w:rsid w:val="00612619"/>
    <w:rsid w:val="00612C39"/>
    <w:rsid w:val="006135DC"/>
    <w:rsid w:val="00613637"/>
    <w:rsid w:val="00613828"/>
    <w:rsid w:val="00616712"/>
    <w:rsid w:val="006228D2"/>
    <w:rsid w:val="00624DD4"/>
    <w:rsid w:val="00625963"/>
    <w:rsid w:val="006310F5"/>
    <w:rsid w:val="006338D3"/>
    <w:rsid w:val="006429F8"/>
    <w:rsid w:val="00642DDC"/>
    <w:rsid w:val="00643685"/>
    <w:rsid w:val="00650674"/>
    <w:rsid w:val="00650F96"/>
    <w:rsid w:val="00651A01"/>
    <w:rsid w:val="006627CB"/>
    <w:rsid w:val="00671E79"/>
    <w:rsid w:val="006747E0"/>
    <w:rsid w:val="00675694"/>
    <w:rsid w:val="006763C4"/>
    <w:rsid w:val="00682E83"/>
    <w:rsid w:val="0069184F"/>
    <w:rsid w:val="00692769"/>
    <w:rsid w:val="0069306A"/>
    <w:rsid w:val="00695B63"/>
    <w:rsid w:val="00695F10"/>
    <w:rsid w:val="0069736D"/>
    <w:rsid w:val="006A208D"/>
    <w:rsid w:val="006B3C52"/>
    <w:rsid w:val="006B7994"/>
    <w:rsid w:val="006B7DC3"/>
    <w:rsid w:val="006C1FEB"/>
    <w:rsid w:val="006C650D"/>
    <w:rsid w:val="006C6F94"/>
    <w:rsid w:val="006C7F82"/>
    <w:rsid w:val="006D0312"/>
    <w:rsid w:val="006D0C23"/>
    <w:rsid w:val="006D103A"/>
    <w:rsid w:val="006D13C6"/>
    <w:rsid w:val="006D32D6"/>
    <w:rsid w:val="006D4A46"/>
    <w:rsid w:val="006D5009"/>
    <w:rsid w:val="006D65E4"/>
    <w:rsid w:val="006D6FCB"/>
    <w:rsid w:val="006E612B"/>
    <w:rsid w:val="006E63FE"/>
    <w:rsid w:val="006E6F11"/>
    <w:rsid w:val="006E7C8D"/>
    <w:rsid w:val="006F3ECF"/>
    <w:rsid w:val="006F62D8"/>
    <w:rsid w:val="006F75D2"/>
    <w:rsid w:val="00703916"/>
    <w:rsid w:val="0070615B"/>
    <w:rsid w:val="007079B2"/>
    <w:rsid w:val="00711167"/>
    <w:rsid w:val="0071123F"/>
    <w:rsid w:val="007146CB"/>
    <w:rsid w:val="00715FA8"/>
    <w:rsid w:val="0072290A"/>
    <w:rsid w:val="00723B11"/>
    <w:rsid w:val="0072442D"/>
    <w:rsid w:val="00731B9B"/>
    <w:rsid w:val="00734418"/>
    <w:rsid w:val="0073477E"/>
    <w:rsid w:val="007348B4"/>
    <w:rsid w:val="00736AEB"/>
    <w:rsid w:val="00737604"/>
    <w:rsid w:val="00744224"/>
    <w:rsid w:val="00744983"/>
    <w:rsid w:val="00744C88"/>
    <w:rsid w:val="00755803"/>
    <w:rsid w:val="00756D15"/>
    <w:rsid w:val="007575BA"/>
    <w:rsid w:val="007602FF"/>
    <w:rsid w:val="007626A0"/>
    <w:rsid w:val="00765EC9"/>
    <w:rsid w:val="00770320"/>
    <w:rsid w:val="00776049"/>
    <w:rsid w:val="007765C1"/>
    <w:rsid w:val="00776729"/>
    <w:rsid w:val="00776A38"/>
    <w:rsid w:val="00777AE2"/>
    <w:rsid w:val="007860B7"/>
    <w:rsid w:val="00790294"/>
    <w:rsid w:val="0079178C"/>
    <w:rsid w:val="007A04DC"/>
    <w:rsid w:val="007A25EB"/>
    <w:rsid w:val="007A2C2F"/>
    <w:rsid w:val="007A2CEC"/>
    <w:rsid w:val="007A6DDA"/>
    <w:rsid w:val="007B24A1"/>
    <w:rsid w:val="007B3B79"/>
    <w:rsid w:val="007B4F3B"/>
    <w:rsid w:val="007B59D1"/>
    <w:rsid w:val="007C49D9"/>
    <w:rsid w:val="007C5AF7"/>
    <w:rsid w:val="007C7D91"/>
    <w:rsid w:val="007D0ED1"/>
    <w:rsid w:val="007D23C6"/>
    <w:rsid w:val="007D278C"/>
    <w:rsid w:val="007D6999"/>
    <w:rsid w:val="007E0F98"/>
    <w:rsid w:val="007E442B"/>
    <w:rsid w:val="007E73CA"/>
    <w:rsid w:val="007F02D7"/>
    <w:rsid w:val="007F0579"/>
    <w:rsid w:val="007F3FAB"/>
    <w:rsid w:val="007F448B"/>
    <w:rsid w:val="008044A5"/>
    <w:rsid w:val="00807DF8"/>
    <w:rsid w:val="00814B4A"/>
    <w:rsid w:val="00815B34"/>
    <w:rsid w:val="008177C8"/>
    <w:rsid w:val="0082199C"/>
    <w:rsid w:val="0082255C"/>
    <w:rsid w:val="00831972"/>
    <w:rsid w:val="00834C83"/>
    <w:rsid w:val="00835AEB"/>
    <w:rsid w:val="00836868"/>
    <w:rsid w:val="008428F1"/>
    <w:rsid w:val="00842EFC"/>
    <w:rsid w:val="00844506"/>
    <w:rsid w:val="008459D0"/>
    <w:rsid w:val="00851E04"/>
    <w:rsid w:val="00853BCA"/>
    <w:rsid w:val="008558C7"/>
    <w:rsid w:val="0085607E"/>
    <w:rsid w:val="008622FF"/>
    <w:rsid w:val="00862591"/>
    <w:rsid w:val="00872B6C"/>
    <w:rsid w:val="00873065"/>
    <w:rsid w:val="008808CB"/>
    <w:rsid w:val="00882A19"/>
    <w:rsid w:val="00882C01"/>
    <w:rsid w:val="0088339D"/>
    <w:rsid w:val="008860D8"/>
    <w:rsid w:val="00891280"/>
    <w:rsid w:val="00892429"/>
    <w:rsid w:val="008949C6"/>
    <w:rsid w:val="00895ADF"/>
    <w:rsid w:val="008A30B6"/>
    <w:rsid w:val="008A487B"/>
    <w:rsid w:val="008A7020"/>
    <w:rsid w:val="008B2D42"/>
    <w:rsid w:val="008B2E33"/>
    <w:rsid w:val="008B4251"/>
    <w:rsid w:val="008B49E6"/>
    <w:rsid w:val="008B6C2A"/>
    <w:rsid w:val="008C0B52"/>
    <w:rsid w:val="008C1FFB"/>
    <w:rsid w:val="008C5C2E"/>
    <w:rsid w:val="008E0EFA"/>
    <w:rsid w:val="008E4EBC"/>
    <w:rsid w:val="008E61CE"/>
    <w:rsid w:val="008F0F7E"/>
    <w:rsid w:val="008F1B90"/>
    <w:rsid w:val="00904884"/>
    <w:rsid w:val="00910F27"/>
    <w:rsid w:val="00914313"/>
    <w:rsid w:val="00915016"/>
    <w:rsid w:val="00922EDB"/>
    <w:rsid w:val="009275A0"/>
    <w:rsid w:val="0093016C"/>
    <w:rsid w:val="00930953"/>
    <w:rsid w:val="00933167"/>
    <w:rsid w:val="00934CB5"/>
    <w:rsid w:val="009409F9"/>
    <w:rsid w:val="00941997"/>
    <w:rsid w:val="00941EA9"/>
    <w:rsid w:val="00942124"/>
    <w:rsid w:val="0094213E"/>
    <w:rsid w:val="00943B14"/>
    <w:rsid w:val="00951341"/>
    <w:rsid w:val="00952A6C"/>
    <w:rsid w:val="0095451F"/>
    <w:rsid w:val="00954DB6"/>
    <w:rsid w:val="00963220"/>
    <w:rsid w:val="00965319"/>
    <w:rsid w:val="00971765"/>
    <w:rsid w:val="00974096"/>
    <w:rsid w:val="00976EEC"/>
    <w:rsid w:val="00981E70"/>
    <w:rsid w:val="00981F98"/>
    <w:rsid w:val="00982BB8"/>
    <w:rsid w:val="009847A3"/>
    <w:rsid w:val="00991658"/>
    <w:rsid w:val="00993315"/>
    <w:rsid w:val="0099532B"/>
    <w:rsid w:val="00995AEA"/>
    <w:rsid w:val="009960A6"/>
    <w:rsid w:val="00996E35"/>
    <w:rsid w:val="009A15E2"/>
    <w:rsid w:val="009A1A5F"/>
    <w:rsid w:val="009A1FD8"/>
    <w:rsid w:val="009B0482"/>
    <w:rsid w:val="009B1E2B"/>
    <w:rsid w:val="009C03D1"/>
    <w:rsid w:val="009C61DF"/>
    <w:rsid w:val="009C6A85"/>
    <w:rsid w:val="009C7DFE"/>
    <w:rsid w:val="009D1018"/>
    <w:rsid w:val="009E3A8E"/>
    <w:rsid w:val="009F501D"/>
    <w:rsid w:val="00A030F0"/>
    <w:rsid w:val="00A051E1"/>
    <w:rsid w:val="00A054A4"/>
    <w:rsid w:val="00A05649"/>
    <w:rsid w:val="00A06395"/>
    <w:rsid w:val="00A07F3E"/>
    <w:rsid w:val="00A1398D"/>
    <w:rsid w:val="00A13BE0"/>
    <w:rsid w:val="00A210FC"/>
    <w:rsid w:val="00A303BB"/>
    <w:rsid w:val="00A32AD2"/>
    <w:rsid w:val="00A371CF"/>
    <w:rsid w:val="00A44B7C"/>
    <w:rsid w:val="00A477E5"/>
    <w:rsid w:val="00A54AD4"/>
    <w:rsid w:val="00A557FF"/>
    <w:rsid w:val="00A61053"/>
    <w:rsid w:val="00A61861"/>
    <w:rsid w:val="00A61C0E"/>
    <w:rsid w:val="00A70995"/>
    <w:rsid w:val="00A71723"/>
    <w:rsid w:val="00A727DE"/>
    <w:rsid w:val="00A734E5"/>
    <w:rsid w:val="00A8259B"/>
    <w:rsid w:val="00A9069B"/>
    <w:rsid w:val="00A908A0"/>
    <w:rsid w:val="00A9456F"/>
    <w:rsid w:val="00A95907"/>
    <w:rsid w:val="00AA3097"/>
    <w:rsid w:val="00AB15A7"/>
    <w:rsid w:val="00AB6346"/>
    <w:rsid w:val="00AC43F7"/>
    <w:rsid w:val="00AC4E0E"/>
    <w:rsid w:val="00AD0295"/>
    <w:rsid w:val="00AD1B05"/>
    <w:rsid w:val="00AD4C39"/>
    <w:rsid w:val="00AD78AF"/>
    <w:rsid w:val="00AE1000"/>
    <w:rsid w:val="00AE161A"/>
    <w:rsid w:val="00AE68FB"/>
    <w:rsid w:val="00AF221C"/>
    <w:rsid w:val="00AF2C0A"/>
    <w:rsid w:val="00B05B38"/>
    <w:rsid w:val="00B06014"/>
    <w:rsid w:val="00B1119D"/>
    <w:rsid w:val="00B123C7"/>
    <w:rsid w:val="00B13E27"/>
    <w:rsid w:val="00B144D2"/>
    <w:rsid w:val="00B16CBB"/>
    <w:rsid w:val="00B26522"/>
    <w:rsid w:val="00B336BF"/>
    <w:rsid w:val="00B35EFF"/>
    <w:rsid w:val="00B4084B"/>
    <w:rsid w:val="00B42EF7"/>
    <w:rsid w:val="00B43C51"/>
    <w:rsid w:val="00B52F21"/>
    <w:rsid w:val="00B5677F"/>
    <w:rsid w:val="00B601B1"/>
    <w:rsid w:val="00B63A6E"/>
    <w:rsid w:val="00B63F5C"/>
    <w:rsid w:val="00B705B2"/>
    <w:rsid w:val="00B71CDD"/>
    <w:rsid w:val="00B743B4"/>
    <w:rsid w:val="00B84568"/>
    <w:rsid w:val="00B936B9"/>
    <w:rsid w:val="00B943DE"/>
    <w:rsid w:val="00B958DC"/>
    <w:rsid w:val="00B97977"/>
    <w:rsid w:val="00BA404F"/>
    <w:rsid w:val="00BA6303"/>
    <w:rsid w:val="00BB2020"/>
    <w:rsid w:val="00BC01AF"/>
    <w:rsid w:val="00BC2F12"/>
    <w:rsid w:val="00BC2FAB"/>
    <w:rsid w:val="00BD415B"/>
    <w:rsid w:val="00BF2E7F"/>
    <w:rsid w:val="00BF3041"/>
    <w:rsid w:val="00BF4719"/>
    <w:rsid w:val="00C014F1"/>
    <w:rsid w:val="00C060B1"/>
    <w:rsid w:val="00C106E4"/>
    <w:rsid w:val="00C179AF"/>
    <w:rsid w:val="00C208FC"/>
    <w:rsid w:val="00C24E09"/>
    <w:rsid w:val="00C25BEB"/>
    <w:rsid w:val="00C3035A"/>
    <w:rsid w:val="00C3105D"/>
    <w:rsid w:val="00C31D2F"/>
    <w:rsid w:val="00C346EF"/>
    <w:rsid w:val="00C34ABD"/>
    <w:rsid w:val="00C3611D"/>
    <w:rsid w:val="00C40DA3"/>
    <w:rsid w:val="00C40E5A"/>
    <w:rsid w:val="00C4281C"/>
    <w:rsid w:val="00C46989"/>
    <w:rsid w:val="00C53B0F"/>
    <w:rsid w:val="00C53B3B"/>
    <w:rsid w:val="00C53E8E"/>
    <w:rsid w:val="00C6050B"/>
    <w:rsid w:val="00C609D5"/>
    <w:rsid w:val="00C63946"/>
    <w:rsid w:val="00C64B94"/>
    <w:rsid w:val="00C6597B"/>
    <w:rsid w:val="00C7530C"/>
    <w:rsid w:val="00C7632C"/>
    <w:rsid w:val="00C772FE"/>
    <w:rsid w:val="00C77861"/>
    <w:rsid w:val="00C81B43"/>
    <w:rsid w:val="00C823A3"/>
    <w:rsid w:val="00C82999"/>
    <w:rsid w:val="00C83DDA"/>
    <w:rsid w:val="00C85891"/>
    <w:rsid w:val="00C85B24"/>
    <w:rsid w:val="00C87F49"/>
    <w:rsid w:val="00C9009E"/>
    <w:rsid w:val="00C909C8"/>
    <w:rsid w:val="00C929CA"/>
    <w:rsid w:val="00C93F3E"/>
    <w:rsid w:val="00C953D0"/>
    <w:rsid w:val="00C957F6"/>
    <w:rsid w:val="00C95948"/>
    <w:rsid w:val="00C96776"/>
    <w:rsid w:val="00CA1A33"/>
    <w:rsid w:val="00CA2EF7"/>
    <w:rsid w:val="00CA414A"/>
    <w:rsid w:val="00CA53F1"/>
    <w:rsid w:val="00CB11AE"/>
    <w:rsid w:val="00CB2444"/>
    <w:rsid w:val="00CB304E"/>
    <w:rsid w:val="00CC2B9A"/>
    <w:rsid w:val="00CC5845"/>
    <w:rsid w:val="00CC786F"/>
    <w:rsid w:val="00CD0AC2"/>
    <w:rsid w:val="00CD4E64"/>
    <w:rsid w:val="00CD58BE"/>
    <w:rsid w:val="00CD7CF9"/>
    <w:rsid w:val="00CE4CEC"/>
    <w:rsid w:val="00CE61A6"/>
    <w:rsid w:val="00CE66CB"/>
    <w:rsid w:val="00CF2016"/>
    <w:rsid w:val="00D0091C"/>
    <w:rsid w:val="00D00941"/>
    <w:rsid w:val="00D038A0"/>
    <w:rsid w:val="00D0652B"/>
    <w:rsid w:val="00D1202C"/>
    <w:rsid w:val="00D223F3"/>
    <w:rsid w:val="00D22570"/>
    <w:rsid w:val="00D23004"/>
    <w:rsid w:val="00D235C8"/>
    <w:rsid w:val="00D271E5"/>
    <w:rsid w:val="00D30280"/>
    <w:rsid w:val="00D30F41"/>
    <w:rsid w:val="00D314A6"/>
    <w:rsid w:val="00D34701"/>
    <w:rsid w:val="00D3501A"/>
    <w:rsid w:val="00D35C07"/>
    <w:rsid w:val="00D372A5"/>
    <w:rsid w:val="00D37EC7"/>
    <w:rsid w:val="00D426E3"/>
    <w:rsid w:val="00D42AD5"/>
    <w:rsid w:val="00D42DB7"/>
    <w:rsid w:val="00D45724"/>
    <w:rsid w:val="00D506FC"/>
    <w:rsid w:val="00D50A40"/>
    <w:rsid w:val="00D5398A"/>
    <w:rsid w:val="00D55837"/>
    <w:rsid w:val="00D640FC"/>
    <w:rsid w:val="00D703FE"/>
    <w:rsid w:val="00D762A7"/>
    <w:rsid w:val="00D77CBD"/>
    <w:rsid w:val="00D90CEF"/>
    <w:rsid w:val="00D91E0F"/>
    <w:rsid w:val="00D92601"/>
    <w:rsid w:val="00DA47D4"/>
    <w:rsid w:val="00DA61BD"/>
    <w:rsid w:val="00DA6612"/>
    <w:rsid w:val="00DA69EE"/>
    <w:rsid w:val="00DB227A"/>
    <w:rsid w:val="00DC2EDA"/>
    <w:rsid w:val="00DC3A43"/>
    <w:rsid w:val="00DC4CBE"/>
    <w:rsid w:val="00DD0FE2"/>
    <w:rsid w:val="00DD37E5"/>
    <w:rsid w:val="00DD3C96"/>
    <w:rsid w:val="00DD3DF3"/>
    <w:rsid w:val="00DD40B8"/>
    <w:rsid w:val="00DD5B3E"/>
    <w:rsid w:val="00DD6A00"/>
    <w:rsid w:val="00DD70B7"/>
    <w:rsid w:val="00DE2416"/>
    <w:rsid w:val="00DE2650"/>
    <w:rsid w:val="00DE6C37"/>
    <w:rsid w:val="00DF0A2C"/>
    <w:rsid w:val="00DF10A7"/>
    <w:rsid w:val="00DF1C42"/>
    <w:rsid w:val="00DF7395"/>
    <w:rsid w:val="00DF7920"/>
    <w:rsid w:val="00E01970"/>
    <w:rsid w:val="00E03D41"/>
    <w:rsid w:val="00E13369"/>
    <w:rsid w:val="00E17766"/>
    <w:rsid w:val="00E27F56"/>
    <w:rsid w:val="00E3083D"/>
    <w:rsid w:val="00E31285"/>
    <w:rsid w:val="00E33168"/>
    <w:rsid w:val="00E3545A"/>
    <w:rsid w:val="00E35CB9"/>
    <w:rsid w:val="00E40968"/>
    <w:rsid w:val="00E41B85"/>
    <w:rsid w:val="00E42057"/>
    <w:rsid w:val="00E453A8"/>
    <w:rsid w:val="00E45D9D"/>
    <w:rsid w:val="00E5716A"/>
    <w:rsid w:val="00E630C8"/>
    <w:rsid w:val="00E65C4F"/>
    <w:rsid w:val="00E67C76"/>
    <w:rsid w:val="00E70D3D"/>
    <w:rsid w:val="00E713A4"/>
    <w:rsid w:val="00E72259"/>
    <w:rsid w:val="00E72FF2"/>
    <w:rsid w:val="00E77139"/>
    <w:rsid w:val="00E8002B"/>
    <w:rsid w:val="00E80CF2"/>
    <w:rsid w:val="00E86A79"/>
    <w:rsid w:val="00E87DF1"/>
    <w:rsid w:val="00E91D2B"/>
    <w:rsid w:val="00E91E03"/>
    <w:rsid w:val="00E937CE"/>
    <w:rsid w:val="00E94D6F"/>
    <w:rsid w:val="00E94E00"/>
    <w:rsid w:val="00EA039B"/>
    <w:rsid w:val="00EA0CE9"/>
    <w:rsid w:val="00EA2C0C"/>
    <w:rsid w:val="00EA5A5C"/>
    <w:rsid w:val="00EA7253"/>
    <w:rsid w:val="00EB7F61"/>
    <w:rsid w:val="00ED3F42"/>
    <w:rsid w:val="00EE0433"/>
    <w:rsid w:val="00EE1BF4"/>
    <w:rsid w:val="00F03675"/>
    <w:rsid w:val="00F109C0"/>
    <w:rsid w:val="00F14787"/>
    <w:rsid w:val="00F16D31"/>
    <w:rsid w:val="00F3337D"/>
    <w:rsid w:val="00F338C3"/>
    <w:rsid w:val="00F34D07"/>
    <w:rsid w:val="00F34E4C"/>
    <w:rsid w:val="00F371B5"/>
    <w:rsid w:val="00F41705"/>
    <w:rsid w:val="00F515CE"/>
    <w:rsid w:val="00F52542"/>
    <w:rsid w:val="00F538CB"/>
    <w:rsid w:val="00F55D80"/>
    <w:rsid w:val="00F5688B"/>
    <w:rsid w:val="00F73EC9"/>
    <w:rsid w:val="00F75580"/>
    <w:rsid w:val="00F76F0B"/>
    <w:rsid w:val="00F803D6"/>
    <w:rsid w:val="00F9203D"/>
    <w:rsid w:val="00F92A3D"/>
    <w:rsid w:val="00F9355B"/>
    <w:rsid w:val="00F94C19"/>
    <w:rsid w:val="00F96561"/>
    <w:rsid w:val="00F970D1"/>
    <w:rsid w:val="00FA4279"/>
    <w:rsid w:val="00FB0DE5"/>
    <w:rsid w:val="00FB4C55"/>
    <w:rsid w:val="00FB6619"/>
    <w:rsid w:val="00FC1EDF"/>
    <w:rsid w:val="00FC6C2C"/>
    <w:rsid w:val="00FD354C"/>
    <w:rsid w:val="00FD3CDA"/>
    <w:rsid w:val="00FD46F6"/>
    <w:rsid w:val="00FE3BEB"/>
    <w:rsid w:val="00FF1023"/>
    <w:rsid w:val="00FF3D29"/>
    <w:rsid w:val="00FF4956"/>
    <w:rsid w:val="00FF5702"/>
    <w:rsid w:val="016D564A"/>
    <w:rsid w:val="01D566D2"/>
    <w:rsid w:val="02464483"/>
    <w:rsid w:val="02EA49C7"/>
    <w:rsid w:val="03BD79FB"/>
    <w:rsid w:val="03CC5989"/>
    <w:rsid w:val="04430E1F"/>
    <w:rsid w:val="053C713C"/>
    <w:rsid w:val="05F919D0"/>
    <w:rsid w:val="060F471C"/>
    <w:rsid w:val="069E07AC"/>
    <w:rsid w:val="070D1375"/>
    <w:rsid w:val="07266F57"/>
    <w:rsid w:val="08E20A90"/>
    <w:rsid w:val="098B3CD5"/>
    <w:rsid w:val="0A68040B"/>
    <w:rsid w:val="0BDF6167"/>
    <w:rsid w:val="0C2C5211"/>
    <w:rsid w:val="0C491428"/>
    <w:rsid w:val="0C700B03"/>
    <w:rsid w:val="0D8C13EF"/>
    <w:rsid w:val="0E071417"/>
    <w:rsid w:val="0E19425F"/>
    <w:rsid w:val="0E8B4F56"/>
    <w:rsid w:val="0F4F26F1"/>
    <w:rsid w:val="0FA85B77"/>
    <w:rsid w:val="0FDE7C23"/>
    <w:rsid w:val="11B60B3B"/>
    <w:rsid w:val="11D9605E"/>
    <w:rsid w:val="12F6060F"/>
    <w:rsid w:val="143A6239"/>
    <w:rsid w:val="14A007B4"/>
    <w:rsid w:val="152B4F07"/>
    <w:rsid w:val="15402DF4"/>
    <w:rsid w:val="154159E9"/>
    <w:rsid w:val="1598448C"/>
    <w:rsid w:val="15B40BB6"/>
    <w:rsid w:val="15BA6DF9"/>
    <w:rsid w:val="16300DDB"/>
    <w:rsid w:val="171B2735"/>
    <w:rsid w:val="18C76E2C"/>
    <w:rsid w:val="192A1D4D"/>
    <w:rsid w:val="1A8B2833"/>
    <w:rsid w:val="1B3C21E1"/>
    <w:rsid w:val="1B515FA0"/>
    <w:rsid w:val="1D28076E"/>
    <w:rsid w:val="1D9A7BA2"/>
    <w:rsid w:val="1E0B2E42"/>
    <w:rsid w:val="1F0E4496"/>
    <w:rsid w:val="1F261F69"/>
    <w:rsid w:val="1F3572E8"/>
    <w:rsid w:val="20884A18"/>
    <w:rsid w:val="20B679ED"/>
    <w:rsid w:val="21896282"/>
    <w:rsid w:val="21EE732A"/>
    <w:rsid w:val="220325F9"/>
    <w:rsid w:val="248024EA"/>
    <w:rsid w:val="24990E38"/>
    <w:rsid w:val="24C5715F"/>
    <w:rsid w:val="27AE02F9"/>
    <w:rsid w:val="288A46E4"/>
    <w:rsid w:val="294C2A7E"/>
    <w:rsid w:val="29F345FA"/>
    <w:rsid w:val="2AA17A70"/>
    <w:rsid w:val="2C90174B"/>
    <w:rsid w:val="2CAA688E"/>
    <w:rsid w:val="2CD30B30"/>
    <w:rsid w:val="2E586260"/>
    <w:rsid w:val="2E64316C"/>
    <w:rsid w:val="2EFD008C"/>
    <w:rsid w:val="2F4A28EA"/>
    <w:rsid w:val="2F5333B9"/>
    <w:rsid w:val="2FBC2359"/>
    <w:rsid w:val="31DC0FE0"/>
    <w:rsid w:val="3295171E"/>
    <w:rsid w:val="33597FCF"/>
    <w:rsid w:val="3382135A"/>
    <w:rsid w:val="33BC5617"/>
    <w:rsid w:val="34B271D1"/>
    <w:rsid w:val="35436994"/>
    <w:rsid w:val="35BF77C2"/>
    <w:rsid w:val="36357E33"/>
    <w:rsid w:val="36AE6EDC"/>
    <w:rsid w:val="370C0ADF"/>
    <w:rsid w:val="38534620"/>
    <w:rsid w:val="3CA6465F"/>
    <w:rsid w:val="3D054C8F"/>
    <w:rsid w:val="3E091DE7"/>
    <w:rsid w:val="3EA239B5"/>
    <w:rsid w:val="403F1053"/>
    <w:rsid w:val="41211CDE"/>
    <w:rsid w:val="41847CB8"/>
    <w:rsid w:val="41EC670C"/>
    <w:rsid w:val="424F7D8F"/>
    <w:rsid w:val="42B07218"/>
    <w:rsid w:val="42DF0A26"/>
    <w:rsid w:val="43476085"/>
    <w:rsid w:val="439C453A"/>
    <w:rsid w:val="45061DA8"/>
    <w:rsid w:val="45257F6C"/>
    <w:rsid w:val="46085DC1"/>
    <w:rsid w:val="47252C72"/>
    <w:rsid w:val="4774204D"/>
    <w:rsid w:val="48902A13"/>
    <w:rsid w:val="4AB74785"/>
    <w:rsid w:val="4B2B0723"/>
    <w:rsid w:val="4B817424"/>
    <w:rsid w:val="4C120E13"/>
    <w:rsid w:val="4C22487C"/>
    <w:rsid w:val="4CAC1F43"/>
    <w:rsid w:val="4CAE676A"/>
    <w:rsid w:val="4D147B2F"/>
    <w:rsid w:val="4DD8425D"/>
    <w:rsid w:val="4E3F5F8A"/>
    <w:rsid w:val="4F395FF3"/>
    <w:rsid w:val="4F9A09BD"/>
    <w:rsid w:val="4F9D3E70"/>
    <w:rsid w:val="50CF3E1F"/>
    <w:rsid w:val="51CB3718"/>
    <w:rsid w:val="53F2448B"/>
    <w:rsid w:val="550704D3"/>
    <w:rsid w:val="55120E69"/>
    <w:rsid w:val="554B78CD"/>
    <w:rsid w:val="56654597"/>
    <w:rsid w:val="570A3D11"/>
    <w:rsid w:val="57D95561"/>
    <w:rsid w:val="58DE795E"/>
    <w:rsid w:val="597B4753"/>
    <w:rsid w:val="59A17537"/>
    <w:rsid w:val="59C96BF6"/>
    <w:rsid w:val="5A1A3234"/>
    <w:rsid w:val="5AC72093"/>
    <w:rsid w:val="5AE16C10"/>
    <w:rsid w:val="5B402609"/>
    <w:rsid w:val="5D635AA2"/>
    <w:rsid w:val="5D8225F9"/>
    <w:rsid w:val="5E090727"/>
    <w:rsid w:val="5FA574C4"/>
    <w:rsid w:val="60561D6A"/>
    <w:rsid w:val="62554D8E"/>
    <w:rsid w:val="62AA171A"/>
    <w:rsid w:val="63305E5E"/>
    <w:rsid w:val="6333456C"/>
    <w:rsid w:val="641D0C51"/>
    <w:rsid w:val="643613D9"/>
    <w:rsid w:val="6554158F"/>
    <w:rsid w:val="66162E64"/>
    <w:rsid w:val="66D03038"/>
    <w:rsid w:val="66F86482"/>
    <w:rsid w:val="67A47D55"/>
    <w:rsid w:val="67AD744E"/>
    <w:rsid w:val="68F64907"/>
    <w:rsid w:val="69240EF7"/>
    <w:rsid w:val="6ACB20FD"/>
    <w:rsid w:val="6BF41AC3"/>
    <w:rsid w:val="6C134CBD"/>
    <w:rsid w:val="6C54532A"/>
    <w:rsid w:val="6C9858E3"/>
    <w:rsid w:val="6E3220E7"/>
    <w:rsid w:val="6F0A08FB"/>
    <w:rsid w:val="6F0E6756"/>
    <w:rsid w:val="6F7F6D2E"/>
    <w:rsid w:val="702C00D7"/>
    <w:rsid w:val="707A5D98"/>
    <w:rsid w:val="70A16213"/>
    <w:rsid w:val="7193696B"/>
    <w:rsid w:val="735E534E"/>
    <w:rsid w:val="73DA6ECA"/>
    <w:rsid w:val="756141E1"/>
    <w:rsid w:val="75C36BBE"/>
    <w:rsid w:val="76FD160E"/>
    <w:rsid w:val="775C7799"/>
    <w:rsid w:val="77B447F0"/>
    <w:rsid w:val="77C16711"/>
    <w:rsid w:val="784F4A44"/>
    <w:rsid w:val="79073291"/>
    <w:rsid w:val="790D7A83"/>
    <w:rsid w:val="79E47E21"/>
    <w:rsid w:val="7A891600"/>
    <w:rsid w:val="7ACB45B6"/>
    <w:rsid w:val="7C060D75"/>
    <w:rsid w:val="7CB77BE8"/>
    <w:rsid w:val="7D3420A6"/>
    <w:rsid w:val="7F2232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8"/>
    <w:qFormat/>
    <w:uiPriority w:val="0"/>
    <w:pPr>
      <w:keepNext/>
      <w:jc w:val="center"/>
      <w:outlineLvl w:val="0"/>
    </w:pPr>
    <w:rPr>
      <w:rFonts w:ascii="黑体"/>
      <w:b/>
      <w:sz w:val="32"/>
      <w:szCs w:val="24"/>
    </w:rPr>
  </w:style>
  <w:style w:type="paragraph" w:styleId="4">
    <w:name w:val="heading 2"/>
    <w:basedOn w:val="1"/>
    <w:next w:val="1"/>
    <w:link w:val="29"/>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link w:val="30"/>
    <w:qFormat/>
    <w:uiPriority w:val="0"/>
    <w:pPr>
      <w:keepNext/>
      <w:keepLines/>
      <w:spacing w:before="260" w:after="260" w:line="415" w:lineRule="auto"/>
      <w:outlineLvl w:val="2"/>
    </w:pPr>
    <w:rPr>
      <w:b/>
      <w:sz w:val="32"/>
    </w:rPr>
  </w:style>
  <w:style w:type="paragraph" w:styleId="6">
    <w:name w:val="heading 4"/>
    <w:basedOn w:val="1"/>
    <w:next w:val="1"/>
    <w:unhideWhenUsed/>
    <w:qFormat/>
    <w:uiPriority w:val="9"/>
    <w:pPr>
      <w:keepNext/>
      <w:keepLines/>
      <w:spacing w:before="280" w:after="290" w:line="376" w:lineRule="auto"/>
      <w:outlineLvl w:val="3"/>
    </w:pPr>
    <w:rPr>
      <w:rFonts w:eastAsia="仿宋_GB2312" w:cstheme="majorBidi"/>
      <w:b/>
      <w:bCs/>
      <w:sz w:val="30"/>
      <w:szCs w:val="28"/>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2">
    <w:name w:val="footer"/>
    <w:basedOn w:val="1"/>
    <w:link w:val="46"/>
    <w:qFormat/>
    <w:uiPriority w:val="0"/>
    <w:pPr>
      <w:tabs>
        <w:tab w:val="center" w:pos="4153"/>
        <w:tab w:val="right" w:pos="8307"/>
      </w:tabs>
      <w:snapToGrid w:val="0"/>
      <w:jc w:val="left"/>
    </w:pPr>
    <w:rPr>
      <w:rFonts w:asciiTheme="minorHAnsi" w:hAnsiTheme="minorHAnsi" w:cstheme="minorBidi"/>
      <w:sz w:val="18"/>
      <w:szCs w:val="22"/>
    </w:rPr>
  </w:style>
  <w:style w:type="paragraph" w:styleId="7">
    <w:name w:val="Normal Indent"/>
    <w:basedOn w:val="1"/>
    <w:next w:val="1"/>
    <w:link w:val="56"/>
    <w:qFormat/>
    <w:uiPriority w:val="99"/>
    <w:pPr>
      <w:autoSpaceDE w:val="0"/>
      <w:autoSpaceDN w:val="0"/>
      <w:adjustRightInd w:val="0"/>
      <w:ind w:firstLine="420"/>
    </w:pPr>
    <w:rPr>
      <w:rFonts w:ascii="宋体"/>
      <w:sz w:val="24"/>
    </w:rPr>
  </w:style>
  <w:style w:type="paragraph" w:styleId="8">
    <w:name w:val="Document Map"/>
    <w:basedOn w:val="1"/>
    <w:link w:val="37"/>
    <w:unhideWhenUsed/>
    <w:qFormat/>
    <w:uiPriority w:val="99"/>
    <w:rPr>
      <w:rFonts w:ascii="宋体" w:hAnsiTheme="minorHAnsi" w:cstheme="minorBidi"/>
      <w:sz w:val="18"/>
      <w:szCs w:val="18"/>
    </w:rPr>
  </w:style>
  <w:style w:type="paragraph" w:styleId="9">
    <w:name w:val="annotation text"/>
    <w:basedOn w:val="1"/>
    <w:link w:val="38"/>
    <w:unhideWhenUsed/>
    <w:qFormat/>
    <w:uiPriority w:val="0"/>
    <w:pPr>
      <w:jc w:val="left"/>
    </w:pPr>
  </w:style>
  <w:style w:type="paragraph" w:styleId="10">
    <w:name w:val="Body Text"/>
    <w:basedOn w:val="1"/>
    <w:next w:val="1"/>
    <w:link w:val="40"/>
    <w:qFormat/>
    <w:uiPriority w:val="0"/>
    <w:pPr>
      <w:spacing w:after="120"/>
    </w:pPr>
    <w:rPr>
      <w:szCs w:val="24"/>
    </w:rPr>
  </w:style>
  <w:style w:type="paragraph" w:styleId="11">
    <w:name w:val="Body Text Indent"/>
    <w:next w:val="1"/>
    <w:link w:val="41"/>
    <w:qFormat/>
    <w:uiPriority w:val="0"/>
    <w:pPr>
      <w:widowControl w:val="0"/>
      <w:spacing w:line="440" w:lineRule="exact"/>
      <w:ind w:firstLine="196" w:firstLineChars="196"/>
      <w:jc w:val="both"/>
    </w:pPr>
    <w:rPr>
      <w:rFonts w:ascii="宋体" w:hAnsi="Times New Roman" w:eastAsia="宋体" w:cs="Century"/>
      <w:spacing w:val="2"/>
      <w:kern w:val="2"/>
      <w:sz w:val="21"/>
      <w:szCs w:val="24"/>
      <w:lang w:val="en-US" w:eastAsia="zh-CN" w:bidi="ar-SA"/>
    </w:rPr>
  </w:style>
  <w:style w:type="paragraph" w:styleId="12">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3">
    <w:name w:val="Plain Text"/>
    <w:basedOn w:val="1"/>
    <w:next w:val="7"/>
    <w:link w:val="42"/>
    <w:qFormat/>
    <w:uiPriority w:val="99"/>
    <w:rPr>
      <w:rFonts w:ascii="宋体" w:hAnsi="宋体" w:eastAsiaTheme="minorEastAsia" w:cstheme="minorBidi"/>
      <w:sz w:val="26"/>
      <w:szCs w:val="22"/>
    </w:rPr>
  </w:style>
  <w:style w:type="paragraph" w:styleId="14">
    <w:name w:val="Date"/>
    <w:next w:val="1"/>
    <w:link w:val="43"/>
    <w:qFormat/>
    <w:uiPriority w:val="0"/>
    <w:pPr>
      <w:widowControl w:val="0"/>
      <w:jc w:val="both"/>
    </w:pPr>
    <w:rPr>
      <w:rFonts w:ascii="宋体" w:hAnsi="宋体" w:eastAsia="宋体" w:cs="Times New Roman"/>
      <w:kern w:val="2"/>
      <w:sz w:val="24"/>
      <w:lang w:val="en-US" w:eastAsia="zh-CN" w:bidi="ar-SA"/>
    </w:rPr>
  </w:style>
  <w:style w:type="paragraph" w:styleId="15">
    <w:name w:val="Body Text Indent 2"/>
    <w:link w:val="44"/>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6">
    <w:name w:val="Balloon Text"/>
    <w:basedOn w:val="1"/>
    <w:link w:val="45"/>
    <w:unhideWhenUsed/>
    <w:qFormat/>
    <w:uiPriority w:val="99"/>
    <w:rPr>
      <w:rFonts w:asciiTheme="minorHAnsi" w:hAnsiTheme="minorHAnsi" w:cstheme="minorBidi"/>
      <w:sz w:val="18"/>
      <w:szCs w:val="18"/>
    </w:rPr>
  </w:style>
  <w:style w:type="paragraph" w:styleId="17">
    <w:name w:val="header"/>
    <w:basedOn w:val="1"/>
    <w:link w:val="47"/>
    <w:qFormat/>
    <w:uiPriority w:val="0"/>
    <w:pPr>
      <w:pBdr>
        <w:bottom w:val="single" w:color="auto" w:sz="6" w:space="1"/>
      </w:pBdr>
      <w:tabs>
        <w:tab w:val="center" w:pos="4153"/>
        <w:tab w:val="right" w:pos="8307"/>
      </w:tabs>
      <w:snapToGrid w:val="0"/>
      <w:jc w:val="center"/>
    </w:pPr>
    <w:rPr>
      <w:sz w:val="18"/>
    </w:rPr>
  </w:style>
  <w:style w:type="paragraph" w:styleId="18">
    <w:name w:val="toc 1"/>
    <w:basedOn w:val="1"/>
    <w:next w:val="1"/>
    <w:unhideWhenUsed/>
    <w:qFormat/>
    <w:uiPriority w:val="39"/>
    <w:pPr>
      <w:tabs>
        <w:tab w:val="right" w:leader="dot" w:pos="8296"/>
      </w:tabs>
      <w:spacing w:line="720" w:lineRule="auto"/>
    </w:pPr>
  </w:style>
  <w:style w:type="paragraph" w:styleId="19">
    <w:name w:val="toc 4"/>
    <w:basedOn w:val="1"/>
    <w:next w:val="1"/>
    <w:qFormat/>
    <w:uiPriority w:val="0"/>
    <w:pPr>
      <w:ind w:left="1260"/>
    </w:pPr>
  </w:style>
  <w:style w:type="paragraph" w:styleId="20">
    <w:name w:val="Normal (Web)"/>
    <w:basedOn w:val="1"/>
    <w:qFormat/>
    <w:uiPriority w:val="0"/>
    <w:pPr>
      <w:spacing w:before="100" w:beforeAutospacing="1" w:after="100" w:afterAutospacing="1"/>
      <w:jc w:val="left"/>
    </w:pPr>
    <w:rPr>
      <w:rFonts w:ascii="Calibri" w:hAnsi="Calibri"/>
      <w:kern w:val="0"/>
      <w:sz w:val="24"/>
      <w:szCs w:val="24"/>
    </w:rPr>
  </w:style>
  <w:style w:type="paragraph" w:styleId="21">
    <w:name w:val="annotation subject"/>
    <w:basedOn w:val="9"/>
    <w:next w:val="9"/>
    <w:link w:val="39"/>
    <w:unhideWhenUsed/>
    <w:qFormat/>
    <w:uiPriority w:val="99"/>
    <w:rPr>
      <w:rFonts w:asciiTheme="minorHAnsi" w:hAnsiTheme="minorHAnsi" w:cstheme="minorBidi"/>
      <w:b/>
      <w:bCs/>
      <w:szCs w:val="22"/>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qFormat/>
    <w:uiPriority w:val="0"/>
  </w:style>
  <w:style w:type="character" w:styleId="26">
    <w:name w:val="Hyperlink"/>
    <w:qFormat/>
    <w:uiPriority w:val="99"/>
    <w:rPr>
      <w:color w:val="0000FF"/>
      <w:u w:val="single"/>
    </w:rPr>
  </w:style>
  <w:style w:type="character" w:styleId="27">
    <w:name w:val="annotation reference"/>
    <w:unhideWhenUsed/>
    <w:qFormat/>
    <w:uiPriority w:val="0"/>
    <w:rPr>
      <w:sz w:val="21"/>
      <w:szCs w:val="21"/>
    </w:rPr>
  </w:style>
  <w:style w:type="character" w:customStyle="1" w:styleId="28">
    <w:name w:val="标题 1 Char"/>
    <w:basedOn w:val="24"/>
    <w:link w:val="3"/>
    <w:qFormat/>
    <w:uiPriority w:val="0"/>
    <w:rPr>
      <w:rFonts w:ascii="黑体" w:hAnsi="Times New Roman" w:eastAsia="宋体" w:cs="Times New Roman"/>
      <w:b/>
      <w:kern w:val="2"/>
      <w:sz w:val="32"/>
      <w:szCs w:val="24"/>
    </w:rPr>
  </w:style>
  <w:style w:type="character" w:customStyle="1" w:styleId="29">
    <w:name w:val="标题 2 Char"/>
    <w:basedOn w:val="24"/>
    <w:link w:val="4"/>
    <w:qFormat/>
    <w:uiPriority w:val="0"/>
    <w:rPr>
      <w:rFonts w:ascii="Arial" w:hAnsi="Arial" w:eastAsia="黑体" w:cs="Times New Roman"/>
      <w:b/>
      <w:sz w:val="32"/>
      <w:szCs w:val="20"/>
    </w:rPr>
  </w:style>
  <w:style w:type="character" w:customStyle="1" w:styleId="30">
    <w:name w:val="标题 3 Char"/>
    <w:basedOn w:val="24"/>
    <w:link w:val="5"/>
    <w:qFormat/>
    <w:uiPriority w:val="0"/>
    <w:rPr>
      <w:rFonts w:ascii="Times New Roman" w:hAnsi="Times New Roman" w:eastAsia="宋体" w:cs="Times New Roman"/>
      <w:b/>
      <w:sz w:val="32"/>
      <w:szCs w:val="20"/>
    </w:rPr>
  </w:style>
  <w:style w:type="character" w:customStyle="1" w:styleId="31">
    <w:name w:val="批注框文本 Char"/>
    <w:qFormat/>
    <w:uiPriority w:val="99"/>
    <w:rPr>
      <w:rFonts w:eastAsia="宋体"/>
      <w:sz w:val="18"/>
      <w:szCs w:val="18"/>
    </w:rPr>
  </w:style>
  <w:style w:type="character" w:customStyle="1" w:styleId="32">
    <w:name w:val="批注主题 Char"/>
    <w:qFormat/>
    <w:uiPriority w:val="99"/>
    <w:rPr>
      <w:rFonts w:eastAsia="宋体"/>
      <w:b/>
      <w:bCs/>
    </w:rPr>
  </w:style>
  <w:style w:type="character" w:customStyle="1" w:styleId="33">
    <w:name w:val="文档结构图 Char"/>
    <w:qFormat/>
    <w:uiPriority w:val="99"/>
    <w:rPr>
      <w:rFonts w:ascii="宋体" w:eastAsia="宋体"/>
      <w:sz w:val="18"/>
      <w:szCs w:val="18"/>
    </w:rPr>
  </w:style>
  <w:style w:type="character" w:customStyle="1" w:styleId="34">
    <w:name w:val="批注文字 Char"/>
    <w:semiHidden/>
    <w:qFormat/>
    <w:uiPriority w:val="99"/>
    <w:rPr>
      <w:rFonts w:eastAsia="宋体"/>
      <w:kern w:val="2"/>
      <w:sz w:val="21"/>
    </w:rPr>
  </w:style>
  <w:style w:type="character" w:customStyle="1" w:styleId="35">
    <w:name w:val="页脚 Char"/>
    <w:qFormat/>
    <w:uiPriority w:val="0"/>
    <w:rPr>
      <w:rFonts w:eastAsia="宋体"/>
      <w:sz w:val="18"/>
    </w:rPr>
  </w:style>
  <w:style w:type="character" w:customStyle="1" w:styleId="36">
    <w:name w:val="纯文本 Char"/>
    <w:qFormat/>
    <w:uiPriority w:val="0"/>
    <w:rPr>
      <w:rFonts w:ascii="宋体" w:hAnsi="宋体"/>
      <w:sz w:val="26"/>
    </w:rPr>
  </w:style>
  <w:style w:type="character" w:customStyle="1" w:styleId="37">
    <w:name w:val="文档结构图 Char1"/>
    <w:basedOn w:val="24"/>
    <w:link w:val="8"/>
    <w:semiHidden/>
    <w:qFormat/>
    <w:uiPriority w:val="99"/>
    <w:rPr>
      <w:rFonts w:ascii="宋体" w:hAnsi="Times New Roman" w:eastAsia="宋体" w:cs="Times New Roman"/>
      <w:sz w:val="18"/>
      <w:szCs w:val="18"/>
    </w:rPr>
  </w:style>
  <w:style w:type="character" w:customStyle="1" w:styleId="38">
    <w:name w:val="批注文字 Char1"/>
    <w:basedOn w:val="24"/>
    <w:link w:val="9"/>
    <w:qFormat/>
    <w:uiPriority w:val="0"/>
    <w:rPr>
      <w:rFonts w:ascii="Times New Roman" w:hAnsi="Times New Roman" w:eastAsia="宋体" w:cs="Times New Roman"/>
      <w:szCs w:val="20"/>
    </w:rPr>
  </w:style>
  <w:style w:type="character" w:customStyle="1" w:styleId="39">
    <w:name w:val="批注主题 Char1"/>
    <w:basedOn w:val="38"/>
    <w:link w:val="21"/>
    <w:semiHidden/>
    <w:qFormat/>
    <w:uiPriority w:val="99"/>
    <w:rPr>
      <w:rFonts w:ascii="Times New Roman" w:hAnsi="Times New Roman" w:eastAsia="宋体" w:cs="Times New Roman"/>
      <w:b/>
      <w:bCs/>
      <w:szCs w:val="20"/>
    </w:rPr>
  </w:style>
  <w:style w:type="character" w:customStyle="1" w:styleId="40">
    <w:name w:val="正文文本 Char"/>
    <w:basedOn w:val="24"/>
    <w:link w:val="10"/>
    <w:qFormat/>
    <w:uiPriority w:val="0"/>
    <w:rPr>
      <w:rFonts w:ascii="Times New Roman" w:hAnsi="Times New Roman" w:eastAsia="宋体" w:cs="Times New Roman"/>
      <w:szCs w:val="24"/>
    </w:rPr>
  </w:style>
  <w:style w:type="character" w:customStyle="1" w:styleId="41">
    <w:name w:val="正文文本缩进 Char"/>
    <w:basedOn w:val="24"/>
    <w:link w:val="11"/>
    <w:qFormat/>
    <w:uiPriority w:val="0"/>
    <w:rPr>
      <w:rFonts w:ascii="宋体" w:hAnsi="Times New Roman" w:eastAsia="宋体" w:cs="Century"/>
      <w:spacing w:val="2"/>
      <w:szCs w:val="24"/>
    </w:rPr>
  </w:style>
  <w:style w:type="character" w:customStyle="1" w:styleId="42">
    <w:name w:val="纯文本 Char1"/>
    <w:basedOn w:val="24"/>
    <w:link w:val="13"/>
    <w:qFormat/>
    <w:uiPriority w:val="99"/>
    <w:rPr>
      <w:rFonts w:ascii="宋体" w:hAnsi="Courier New" w:eastAsia="宋体" w:cs="Courier New"/>
      <w:szCs w:val="21"/>
    </w:rPr>
  </w:style>
  <w:style w:type="character" w:customStyle="1" w:styleId="43">
    <w:name w:val="日期 Char"/>
    <w:basedOn w:val="24"/>
    <w:link w:val="14"/>
    <w:qFormat/>
    <w:uiPriority w:val="0"/>
    <w:rPr>
      <w:rFonts w:ascii="宋体" w:hAnsi="宋体" w:eastAsia="宋体" w:cs="Times New Roman"/>
      <w:sz w:val="24"/>
      <w:szCs w:val="20"/>
    </w:rPr>
  </w:style>
  <w:style w:type="character" w:customStyle="1" w:styleId="44">
    <w:name w:val="正文文本缩进 2 Char"/>
    <w:basedOn w:val="24"/>
    <w:link w:val="15"/>
    <w:qFormat/>
    <w:uiPriority w:val="0"/>
    <w:rPr>
      <w:rFonts w:ascii="Times New Roman" w:hAnsi="Times New Roman" w:eastAsia="宋体" w:cs="Times New Roman"/>
      <w:szCs w:val="24"/>
    </w:rPr>
  </w:style>
  <w:style w:type="character" w:customStyle="1" w:styleId="45">
    <w:name w:val="批注框文本 Char1"/>
    <w:basedOn w:val="24"/>
    <w:link w:val="16"/>
    <w:semiHidden/>
    <w:qFormat/>
    <w:uiPriority w:val="99"/>
    <w:rPr>
      <w:rFonts w:ascii="Times New Roman" w:hAnsi="Times New Roman" w:eastAsia="宋体" w:cs="Times New Roman"/>
      <w:sz w:val="18"/>
      <w:szCs w:val="18"/>
    </w:rPr>
  </w:style>
  <w:style w:type="character" w:customStyle="1" w:styleId="46">
    <w:name w:val="页脚 Char1"/>
    <w:basedOn w:val="24"/>
    <w:link w:val="2"/>
    <w:semiHidden/>
    <w:qFormat/>
    <w:uiPriority w:val="99"/>
    <w:rPr>
      <w:rFonts w:ascii="Times New Roman" w:hAnsi="Times New Roman" w:eastAsia="宋体" w:cs="Times New Roman"/>
      <w:sz w:val="18"/>
      <w:szCs w:val="18"/>
    </w:rPr>
  </w:style>
  <w:style w:type="character" w:customStyle="1" w:styleId="47">
    <w:name w:val="页眉 Char"/>
    <w:basedOn w:val="24"/>
    <w:link w:val="17"/>
    <w:qFormat/>
    <w:uiPriority w:val="0"/>
    <w:rPr>
      <w:rFonts w:ascii="Times New Roman" w:hAnsi="Times New Roman" w:eastAsia="宋体" w:cs="Times New Roman"/>
      <w:sz w:val="18"/>
      <w:szCs w:val="20"/>
    </w:rPr>
  </w:style>
  <w:style w:type="paragraph" w:customStyle="1" w:styleId="48">
    <w:name w:val="列出段落1"/>
    <w:basedOn w:val="1"/>
    <w:qFormat/>
    <w:uiPriority w:val="34"/>
    <w:pPr>
      <w:ind w:firstLine="420" w:firstLineChars="200"/>
    </w:pPr>
  </w:style>
  <w:style w:type="paragraph" w:customStyle="1" w:styleId="49">
    <w:name w:val="纯文本1"/>
    <w:next w:val="19"/>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50">
    <w:name w:val="列出段落11"/>
    <w:basedOn w:val="1"/>
    <w:qFormat/>
    <w:uiPriority w:val="99"/>
    <w:pPr>
      <w:ind w:firstLine="420" w:firstLineChars="200"/>
    </w:pPr>
  </w:style>
  <w:style w:type="paragraph" w:customStyle="1" w:styleId="51">
    <w:name w:val="正文文本缩进1"/>
    <w:basedOn w:val="1"/>
    <w:qFormat/>
    <w:uiPriority w:val="0"/>
    <w:pPr>
      <w:spacing w:line="200" w:lineRule="exact"/>
      <w:ind w:firstLine="301"/>
    </w:pPr>
    <w:rPr>
      <w:rFonts w:ascii="宋体" w:hAnsi="Courier New"/>
      <w:spacing w:val="-4"/>
      <w:sz w:val="18"/>
    </w:rPr>
  </w:style>
  <w:style w:type="paragraph" w:customStyle="1" w:styleId="52">
    <w:name w:val="正文文本缩进2"/>
    <w:basedOn w:val="1"/>
    <w:qFormat/>
    <w:uiPriority w:val="0"/>
    <w:pPr>
      <w:spacing w:line="200" w:lineRule="exact"/>
      <w:ind w:firstLine="301"/>
    </w:pPr>
    <w:rPr>
      <w:rFonts w:ascii="宋体" w:hAnsi="Courier New"/>
      <w:spacing w:val="-4"/>
      <w:kern w:val="0"/>
      <w:sz w:val="18"/>
    </w:rPr>
  </w:style>
  <w:style w:type="character" w:customStyle="1" w:styleId="53">
    <w:name w:val="页码1"/>
    <w:basedOn w:val="24"/>
    <w:qFormat/>
    <w:uiPriority w:val="0"/>
  </w:style>
  <w:style w:type="paragraph" w:customStyle="1" w:styleId="54">
    <w:name w:val="正文文本缩进21"/>
    <w:basedOn w:val="1"/>
    <w:qFormat/>
    <w:uiPriority w:val="0"/>
    <w:pPr>
      <w:spacing w:line="200" w:lineRule="exact"/>
      <w:ind w:firstLine="301"/>
    </w:pPr>
    <w:rPr>
      <w:rFonts w:ascii="宋体" w:hAnsi="Courier New"/>
      <w:spacing w:val="-4"/>
      <w:kern w:val="0"/>
      <w:sz w:val="18"/>
    </w:rPr>
  </w:style>
  <w:style w:type="paragraph" w:customStyle="1" w:styleId="55">
    <w:name w:val="修订1"/>
    <w:hidden/>
    <w:semiHidden/>
    <w:qFormat/>
    <w:uiPriority w:val="99"/>
    <w:rPr>
      <w:rFonts w:ascii="Times New Roman" w:hAnsi="Times New Roman" w:eastAsia="宋体" w:cs="Times New Roman"/>
      <w:kern w:val="2"/>
      <w:sz w:val="21"/>
      <w:lang w:val="en-US" w:eastAsia="zh-CN" w:bidi="ar-SA"/>
    </w:rPr>
  </w:style>
  <w:style w:type="character" w:customStyle="1" w:styleId="56">
    <w:name w:val="正文缩进 Char"/>
    <w:link w:val="7"/>
    <w:qFormat/>
    <w:uiPriority w:val="99"/>
    <w:rPr>
      <w:rFonts w:ascii="宋体" w:hAnsi="Times New Roman" w:eastAsia="宋体" w:cs="Times New Roman"/>
      <w:kern w:val="2"/>
      <w:sz w:val="24"/>
    </w:rPr>
  </w:style>
  <w:style w:type="paragraph" w:customStyle="1" w:styleId="57">
    <w:name w:val="Í¼±íÕýÎÄ"/>
    <w:basedOn w:val="1"/>
    <w:next w:val="7"/>
    <w:qFormat/>
    <w:uiPriority w:val="0"/>
    <w:pPr>
      <w:ind w:firstLine="420" w:firstLineChars="200"/>
    </w:pPr>
    <w:rPr>
      <w:sz w:val="24"/>
    </w:rPr>
  </w:style>
  <w:style w:type="paragraph" w:styleId="58">
    <w:name w:val="List Paragraph"/>
    <w:basedOn w:val="1"/>
    <w:qFormat/>
    <w:uiPriority w:val="34"/>
    <w:pPr>
      <w:ind w:firstLine="420" w:firstLineChars="200"/>
    </w:pPr>
    <w:rPr>
      <w:rFonts w:ascii="Calibri" w:hAnsi="Calibri"/>
      <w:szCs w:val="22"/>
    </w:rPr>
  </w:style>
  <w:style w:type="character" w:customStyle="1" w:styleId="59">
    <w:name w:val="font01"/>
    <w:qFormat/>
    <w:uiPriority w:val="0"/>
    <w:rPr>
      <w:rFonts w:hint="eastAsia" w:ascii="宋体" w:hAnsi="宋体" w:eastAsia="宋体" w:cs="宋体"/>
      <w:color w:val="000000"/>
      <w:sz w:val="24"/>
      <w:szCs w:val="24"/>
      <w:u w:val="none"/>
    </w:rPr>
  </w:style>
  <w:style w:type="paragraph" w:customStyle="1" w:styleId="60">
    <w:name w:val="纯文本2"/>
    <w:next w:val="19"/>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paragraph" w:customStyle="1" w:styleId="61">
    <w:name w:val="TOC 标题1"/>
    <w:basedOn w:val="3"/>
    <w:next w:val="1"/>
    <w:semiHidden/>
    <w:unhideWhenUsed/>
    <w:qFormat/>
    <w:uiPriority w:val="39"/>
    <w:pPr>
      <w:keepLines/>
      <w:spacing w:before="480" w:line="276" w:lineRule="auto"/>
      <w:jc w:val="left"/>
      <w:outlineLvl w:val="9"/>
    </w:pPr>
    <w:rPr>
      <w:rFonts w:asciiTheme="majorHAnsi" w:hAnsiTheme="majorHAnsi" w:eastAsiaTheme="majorEastAsia" w:cstheme="majorBidi"/>
      <w:bCs/>
      <w:color w:val="376092" w:themeColor="accent1" w:themeShade="BF"/>
      <w:kern w:val="0"/>
      <w:sz w:val="28"/>
      <w:szCs w:val="28"/>
    </w:rPr>
  </w:style>
  <w:style w:type="paragraph" w:customStyle="1" w:styleId="62">
    <w:name w:val="修订2"/>
    <w:hidden/>
    <w:semiHidden/>
    <w:unhideWhenUsed/>
    <w:qFormat/>
    <w:uiPriority w:val="99"/>
    <w:rPr>
      <w:rFonts w:ascii="Times New Roman" w:hAnsi="Times New Roman" w:eastAsia="宋体" w:cs="Times New Roman"/>
      <w:kern w:val="2"/>
      <w:sz w:val="21"/>
      <w:lang w:val="en-US" w:eastAsia="zh-CN" w:bidi="ar-SA"/>
    </w:rPr>
  </w:style>
  <w:style w:type="paragraph" w:customStyle="1" w:styleId="63">
    <w:name w:val="成文日期"/>
    <w:basedOn w:val="1"/>
    <w:link w:val="64"/>
    <w:qFormat/>
    <w:uiPriority w:val="0"/>
    <w:pPr>
      <w:spacing w:line="570" w:lineRule="exact"/>
      <w:ind w:right="400" w:rightChars="400" w:firstLine="200" w:firstLineChars="200"/>
      <w:jc w:val="right"/>
    </w:pPr>
    <w:rPr>
      <w:rFonts w:ascii="仿宋_GB2312" w:eastAsia="仿宋_GB2312"/>
      <w:sz w:val="32"/>
      <w:lang w:val="zh-CN"/>
    </w:rPr>
  </w:style>
  <w:style w:type="character" w:customStyle="1" w:styleId="64">
    <w:name w:val="成文日期 Char"/>
    <w:link w:val="63"/>
    <w:qFormat/>
    <w:uiPriority w:val="0"/>
    <w:rPr>
      <w:rFonts w:ascii="仿宋_GB2312" w:hAnsi="Times New Roman" w:eastAsia="仿宋_GB2312" w:cs="Times New Roman"/>
      <w:kern w:val="2"/>
      <w:sz w:val="32"/>
      <w:lang w:val="zh-CN" w:eastAsia="zh-CN"/>
    </w:rPr>
  </w:style>
  <w:style w:type="paragraph" w:customStyle="1" w:styleId="65">
    <w:name w:val="材料标题"/>
    <w:basedOn w:val="1"/>
    <w:link w:val="66"/>
    <w:qFormat/>
    <w:uiPriority w:val="0"/>
    <w:pPr>
      <w:adjustRightInd w:val="0"/>
      <w:snapToGrid w:val="0"/>
      <w:spacing w:line="700" w:lineRule="exact"/>
      <w:jc w:val="center"/>
    </w:pPr>
    <w:rPr>
      <w:rFonts w:ascii="方正小标宋简体" w:eastAsia="方正小标宋简体"/>
      <w:color w:val="000000"/>
      <w:sz w:val="44"/>
      <w:szCs w:val="44"/>
    </w:rPr>
  </w:style>
  <w:style w:type="character" w:customStyle="1" w:styleId="66">
    <w:name w:val="材料标题 Char"/>
    <w:link w:val="65"/>
    <w:qFormat/>
    <w:uiPriority w:val="0"/>
    <w:rPr>
      <w:rFonts w:ascii="方正小标宋简体" w:hAnsi="Times New Roman" w:eastAsia="方正小标宋简体" w:cs="Times New Roman"/>
      <w:color w:val="000000"/>
      <w:kern w:val="2"/>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55A73E-4B00-4D17-80FE-D734A1047546}">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22329</Words>
  <Characters>23669</Characters>
  <Lines>187</Lines>
  <Paragraphs>52</Paragraphs>
  <TotalTime>19</TotalTime>
  <ScaleCrop>false</ScaleCrop>
  <LinksUpToDate>false</LinksUpToDate>
  <CharactersWithSpaces>25080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2022-10-25T02:51:00Z</dcterms:created>
  <dc:creator>王波</dc:creator>
  <cp:lastModifiedBy>胡渣大叔！</cp:lastModifiedBy>
  <cp:lastPrinted>2021-10-28T09:02:00Z</cp:lastPrinted>
  <dcterms:modified xsi:type="dcterms:W3CDTF">2022-11-07T03:08:31Z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FFD7BD59228042D884C71664763AC0EA</vt:lpwstr>
  </property>
</Properties>
</file>